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06EBDCD8"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D056FD">
        <w:t>St. Mary’s Catholic Primary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DCEF701" w:rsidR="002940F3" w:rsidRDefault="004A5039" w:rsidP="00C31636">
            <w:pPr>
              <w:pStyle w:val="TableRow"/>
              <w:ind w:left="0" w:right="0"/>
            </w:pPr>
            <w:r>
              <w:t>227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592F423" w:rsidR="002940F3" w:rsidRDefault="00D056FD" w:rsidP="00C31636">
            <w:pPr>
              <w:pStyle w:val="TableRow"/>
              <w:ind w:left="0" w:right="0"/>
            </w:pPr>
            <w:r>
              <w:t>55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1F94961" w:rsidR="002940F3" w:rsidRDefault="00D056FD" w:rsidP="00C31636">
            <w:pPr>
              <w:pStyle w:val="TableRow"/>
              <w:ind w:left="0" w:right="0"/>
            </w:pPr>
            <w:r>
              <w:t>2025-2028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85642CA" w:rsidR="002940F3" w:rsidRDefault="00D056FD" w:rsidP="00C31636">
            <w:pPr>
              <w:pStyle w:val="TableRow"/>
              <w:ind w:left="0" w:right="0"/>
            </w:pPr>
            <w:r>
              <w:t>01.12.25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3674B01" w:rsidR="002940F3" w:rsidRDefault="00D056FD" w:rsidP="00C31636">
            <w:pPr>
              <w:pStyle w:val="TableRow"/>
              <w:ind w:left="0" w:right="0"/>
            </w:pPr>
            <w:r>
              <w:t>01.12.26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910103D" w:rsidR="002940F3" w:rsidRDefault="00D056FD" w:rsidP="00D056FD">
            <w:pPr>
              <w:pStyle w:val="TableRow"/>
              <w:ind w:left="0" w:right="0"/>
            </w:pPr>
            <w:r>
              <w:t>Amy Pritchard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DE461E5" w:rsidR="002940F3" w:rsidRDefault="00D056FD" w:rsidP="00C31636">
            <w:pPr>
              <w:pStyle w:val="TableRow"/>
              <w:ind w:left="0" w:right="0"/>
            </w:pPr>
            <w:r>
              <w:t>Ruth Haywood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DEE1B9E" w:rsidR="002940F3" w:rsidRDefault="001D2F3C" w:rsidP="00C31636">
            <w:pPr>
              <w:pStyle w:val="TableRow"/>
              <w:ind w:left="0" w:right="0"/>
            </w:pPr>
            <w:r>
              <w:t xml:space="preserve">Mike </w:t>
            </w:r>
            <w:r w:rsidR="002A4FA8">
              <w:t>Moran</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970D3" w14:textId="71E73660" w:rsidR="00D056FD" w:rsidRPr="00D056FD" w:rsidRDefault="009D71E8" w:rsidP="00D056FD">
            <w:pPr>
              <w:pStyle w:val="TableRow"/>
            </w:pPr>
            <w:r>
              <w:t>£</w:t>
            </w:r>
            <w:r w:rsidR="00D056FD">
              <w:t>80,148</w:t>
            </w:r>
          </w:p>
          <w:p w14:paraId="2A7D54D8" w14:textId="157A1D2E" w:rsidR="00E66558" w:rsidRDefault="00E66558" w:rsidP="00C31636">
            <w:pPr>
              <w:pStyle w:val="TableRow"/>
              <w:ind w:left="0" w:right="0"/>
            </w:pP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A0E1176" w:rsidR="00E66558" w:rsidRDefault="009D71E8" w:rsidP="00C31636">
            <w:pPr>
              <w:pStyle w:val="TableRow"/>
              <w:ind w:left="0" w:right="0"/>
            </w:pPr>
            <w:r>
              <w:t>£</w:t>
            </w:r>
            <w:r w:rsidR="00D056FD">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2113" w14:textId="77777777" w:rsidR="00E66558" w:rsidRDefault="009D71E8" w:rsidP="00C31636">
            <w:pPr>
              <w:pStyle w:val="TableRow"/>
              <w:ind w:left="0" w:right="0"/>
            </w:pPr>
            <w:r>
              <w:t>£</w:t>
            </w:r>
            <w:r w:rsidR="00D056FD">
              <w:t>78,780 PP</w:t>
            </w:r>
          </w:p>
          <w:p w14:paraId="2A7D54E2" w14:textId="03243943" w:rsidR="00D056FD" w:rsidRDefault="00D056FD" w:rsidP="00C31636">
            <w:pPr>
              <w:pStyle w:val="TableRow"/>
              <w:ind w:left="0" w:right="0"/>
            </w:pPr>
            <w:r>
              <w:t>£1,368 EYPP</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83BD" w14:textId="77777777" w:rsidR="001E28B4" w:rsidRPr="001E28B4" w:rsidRDefault="001E28B4" w:rsidP="001E28B4">
            <w:pPr>
              <w:spacing w:before="120"/>
              <w:rPr>
                <w:i/>
                <w:iCs/>
              </w:rPr>
            </w:pPr>
            <w:r w:rsidRPr="001E28B4">
              <w:rPr>
                <w:i/>
                <w:iCs/>
              </w:rPr>
              <w:t>Our intention at St. Mary’s Catholic Primary is to ensure that all disadvantaged pupils thrive academically, socially, and emotionally. We recognise that many of our pupils face significant and complex barriers to learning, with attendance and SEMH needs being the most prominent. Our pupil premium strategy aims to remove these barriers so that disadvantaged pupils achieve outcomes that are at least in line with their peers nationally.</w:t>
            </w:r>
          </w:p>
          <w:p w14:paraId="36CAAF32" w14:textId="77777777" w:rsidR="001E28B4" w:rsidRPr="001E28B4" w:rsidRDefault="001E28B4" w:rsidP="001E28B4">
            <w:pPr>
              <w:spacing w:before="120"/>
              <w:rPr>
                <w:i/>
                <w:iCs/>
              </w:rPr>
            </w:pPr>
            <w:r w:rsidRPr="001E28B4">
              <w:rPr>
                <w:i/>
                <w:iCs/>
              </w:rPr>
              <w:t>Our strategy is built on strong evidence from the Education Endowment Foundation (EEF) and is structured around three key principles:</w:t>
            </w:r>
          </w:p>
          <w:p w14:paraId="18AFDA39" w14:textId="77777777" w:rsidR="001E28B4" w:rsidRPr="001E28B4" w:rsidRDefault="001E28B4" w:rsidP="001E28B4">
            <w:pPr>
              <w:numPr>
                <w:ilvl w:val="0"/>
                <w:numId w:val="22"/>
              </w:numPr>
              <w:spacing w:before="120"/>
              <w:rPr>
                <w:i/>
                <w:iCs/>
              </w:rPr>
            </w:pPr>
            <w:r w:rsidRPr="001E28B4">
              <w:rPr>
                <w:b/>
                <w:bCs/>
                <w:i/>
                <w:iCs/>
              </w:rPr>
              <w:t>High-quality teaching</w:t>
            </w:r>
            <w:r w:rsidRPr="001E28B4">
              <w:rPr>
                <w:i/>
                <w:iCs/>
              </w:rPr>
              <w:t> as the most effective driver of pupil achievement.</w:t>
            </w:r>
          </w:p>
          <w:p w14:paraId="2D537401" w14:textId="77777777" w:rsidR="001E28B4" w:rsidRPr="001E28B4" w:rsidRDefault="001E28B4" w:rsidP="001E28B4">
            <w:pPr>
              <w:numPr>
                <w:ilvl w:val="0"/>
                <w:numId w:val="22"/>
              </w:numPr>
              <w:spacing w:before="120"/>
              <w:rPr>
                <w:i/>
                <w:iCs/>
              </w:rPr>
            </w:pPr>
            <w:r w:rsidRPr="001E28B4">
              <w:rPr>
                <w:b/>
                <w:bCs/>
                <w:i/>
                <w:iCs/>
              </w:rPr>
              <w:t>Targeted academic support</w:t>
            </w:r>
            <w:r w:rsidRPr="001E28B4">
              <w:rPr>
                <w:i/>
                <w:iCs/>
              </w:rPr>
              <w:t> to close gaps quickly and consistently.</w:t>
            </w:r>
          </w:p>
          <w:p w14:paraId="75962626" w14:textId="77777777" w:rsidR="001E28B4" w:rsidRPr="001E28B4" w:rsidRDefault="001E28B4" w:rsidP="001E28B4">
            <w:pPr>
              <w:numPr>
                <w:ilvl w:val="0"/>
                <w:numId w:val="22"/>
              </w:numPr>
              <w:spacing w:before="120"/>
              <w:rPr>
                <w:i/>
                <w:iCs/>
              </w:rPr>
            </w:pPr>
            <w:r w:rsidRPr="001E28B4">
              <w:rPr>
                <w:b/>
                <w:bCs/>
                <w:i/>
                <w:iCs/>
              </w:rPr>
              <w:t>Wider strategies</w:t>
            </w:r>
            <w:r w:rsidRPr="001E28B4">
              <w:rPr>
                <w:i/>
                <w:iCs/>
              </w:rPr>
              <w:t> that address non-academic factors such as attendance, wellbeing, and family support.</w:t>
            </w:r>
          </w:p>
          <w:p w14:paraId="2A7D54E9" w14:textId="65E48698" w:rsidR="00E66558" w:rsidRPr="008D6CC7" w:rsidRDefault="001E28B4" w:rsidP="008D6CC7">
            <w:pPr>
              <w:spacing w:before="120"/>
              <w:rPr>
                <w:i/>
                <w:iCs/>
              </w:rPr>
            </w:pPr>
            <w:r w:rsidRPr="001E28B4">
              <w:rPr>
                <w:i/>
                <w:iCs/>
              </w:rPr>
              <w:t>Through investment in staff training, targeted interventions, and SEMH support, we aim to improve attendance, raise attainment, and ensure our pupils are emotionally ready to learn. Our approach is responsive to ongoing assessment and monitoring, ensuring funding is used effectively and adaptively to support pupils in the greatest need.</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A61A506" w:rsidR="00E66558" w:rsidRDefault="008436CA" w:rsidP="00C31636">
            <w:pPr>
              <w:pStyle w:val="TableRowCentered"/>
              <w:ind w:left="0" w:right="0"/>
              <w:jc w:val="left"/>
            </w:pPr>
            <w:r>
              <w:rPr>
                <w:i/>
                <w:iCs/>
                <w:sz w:val="22"/>
                <w:szCs w:val="22"/>
              </w:rPr>
              <w:t>Attendance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5CBC14A" w:rsidR="00E66558" w:rsidRDefault="004A5039" w:rsidP="00C31636">
            <w:pPr>
              <w:pStyle w:val="TableRowCentered"/>
              <w:ind w:left="0" w:right="0"/>
              <w:jc w:val="left"/>
              <w:rPr>
                <w:sz w:val="22"/>
                <w:szCs w:val="22"/>
              </w:rPr>
            </w:pPr>
            <w:r>
              <w:rPr>
                <w:sz w:val="22"/>
                <w:szCs w:val="22"/>
              </w:rPr>
              <w:t>SEMH of pupils and families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7FF3303" w:rsidR="00E66558" w:rsidRDefault="008B1326" w:rsidP="00C31636">
            <w:pPr>
              <w:pStyle w:val="TableRowCentered"/>
              <w:ind w:left="0" w:right="0"/>
              <w:jc w:val="left"/>
              <w:rPr>
                <w:sz w:val="22"/>
                <w:szCs w:val="22"/>
              </w:rPr>
            </w:pPr>
            <w:r>
              <w:rPr>
                <w:sz w:val="22"/>
                <w:szCs w:val="22"/>
              </w:rPr>
              <w:t xml:space="preserve">Raising Attainment </w:t>
            </w:r>
            <w:r w:rsidR="00CB73AF">
              <w:rPr>
                <w:sz w:val="22"/>
                <w:szCs w:val="22"/>
              </w:rPr>
              <w:t>o</w:t>
            </w:r>
            <w:r w:rsidR="00443227">
              <w:rPr>
                <w:sz w:val="22"/>
                <w:szCs w:val="22"/>
              </w:rPr>
              <w:t>f disadvantaged pupils</w:t>
            </w:r>
            <w:r w:rsidR="002110CF">
              <w:rPr>
                <w:sz w:val="22"/>
                <w:szCs w:val="22"/>
              </w:rPr>
              <w:t xml:space="preserve">-focus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7777777" w:rsidR="00E66558" w:rsidRDefault="00E66558" w:rsidP="00C31636">
            <w:pPr>
              <w:pStyle w:val="TableRowCentered"/>
              <w:ind w:left="0" w:right="0"/>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7777777" w:rsidR="00E66558" w:rsidRDefault="00E66558" w:rsidP="00C31636">
            <w:pPr>
              <w:pStyle w:val="TableRowCentered"/>
              <w:ind w:left="0" w:right="0"/>
              <w:jc w:val="left"/>
              <w:rPr>
                <w:iCs/>
                <w:sz w:val="22"/>
              </w:rPr>
            </w:pP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BE61FDC" w:rsidR="00E66558" w:rsidRDefault="003675E1" w:rsidP="003675E1">
            <w:pPr>
              <w:pStyle w:val="TableRow"/>
            </w:pPr>
            <w:r w:rsidRPr="003675E1">
              <w:rPr>
                <w:i/>
                <w:iCs/>
                <w:sz w:val="22"/>
                <w:szCs w:val="22"/>
              </w:rPr>
              <w:t xml:space="preserve">Improved attendance of </w:t>
            </w:r>
            <w:r>
              <w:rPr>
                <w:i/>
                <w:iCs/>
                <w:sz w:val="22"/>
                <w:szCs w:val="22"/>
              </w:rPr>
              <w:t>PP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15C4D" w14:textId="6EA96BDF" w:rsidR="008557D1" w:rsidRPr="008557D1" w:rsidRDefault="008557D1" w:rsidP="008557D1">
            <w:pPr>
              <w:pStyle w:val="TableRowCentered"/>
              <w:jc w:val="left"/>
              <w:rPr>
                <w:sz w:val="22"/>
                <w:szCs w:val="22"/>
              </w:rPr>
            </w:pPr>
            <w:r w:rsidRPr="008557D1">
              <w:rPr>
                <w:sz w:val="22"/>
                <w:szCs w:val="22"/>
              </w:rPr>
              <w:t>PP attendance improves each year, aiming for </w:t>
            </w:r>
            <w:r w:rsidRPr="008557D1">
              <w:rPr>
                <w:b/>
                <w:bCs/>
                <w:sz w:val="22"/>
                <w:szCs w:val="22"/>
              </w:rPr>
              <w:t>95%+ by 2028</w:t>
            </w:r>
            <w:r w:rsidR="00B6537F">
              <w:rPr>
                <w:b/>
                <w:bCs/>
                <w:sz w:val="22"/>
                <w:szCs w:val="22"/>
              </w:rPr>
              <w:t>.</w:t>
            </w:r>
          </w:p>
          <w:p w14:paraId="6BCECA0A" w14:textId="749C4ABC" w:rsidR="008557D1" w:rsidRPr="008557D1" w:rsidRDefault="008557D1" w:rsidP="008557D1">
            <w:pPr>
              <w:pStyle w:val="TableRowCentered"/>
              <w:jc w:val="left"/>
              <w:rPr>
                <w:sz w:val="22"/>
                <w:szCs w:val="22"/>
              </w:rPr>
            </w:pPr>
            <w:r w:rsidRPr="008557D1">
              <w:rPr>
                <w:sz w:val="22"/>
                <w:szCs w:val="22"/>
              </w:rPr>
              <w:t>Reduction in number of PP pupils classed as persistently absent (PA)</w:t>
            </w:r>
            <w:r w:rsidR="00B6537F">
              <w:rPr>
                <w:sz w:val="22"/>
                <w:szCs w:val="22"/>
              </w:rPr>
              <w:t>.</w:t>
            </w:r>
          </w:p>
          <w:p w14:paraId="7729DA30" w14:textId="2AEC10E6" w:rsidR="008557D1" w:rsidRPr="008557D1" w:rsidRDefault="008557D1" w:rsidP="008557D1">
            <w:pPr>
              <w:pStyle w:val="TableRowCentered"/>
              <w:jc w:val="left"/>
              <w:rPr>
                <w:sz w:val="22"/>
                <w:szCs w:val="22"/>
              </w:rPr>
            </w:pPr>
            <w:r w:rsidRPr="008557D1">
              <w:rPr>
                <w:sz w:val="22"/>
                <w:szCs w:val="22"/>
              </w:rPr>
              <w:t>Termly attendance tracking shows sustained improvement and earlier intervention</w:t>
            </w:r>
            <w:r w:rsidR="00B6537F">
              <w:rPr>
                <w:sz w:val="22"/>
                <w:szCs w:val="22"/>
              </w:rPr>
              <w:t>.</w:t>
            </w:r>
          </w:p>
          <w:p w14:paraId="2A7D5505" w14:textId="403E8253" w:rsidR="00E66558" w:rsidRDefault="00E66558" w:rsidP="00C31636">
            <w:pPr>
              <w:pStyle w:val="TableRowCentered"/>
              <w:ind w:left="0" w:right="0"/>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A5C0" w14:textId="77777777" w:rsidR="0084456B" w:rsidRPr="0084456B" w:rsidRDefault="0084456B" w:rsidP="0084456B">
            <w:pPr>
              <w:pStyle w:val="TableRow"/>
              <w:ind w:left="0"/>
              <w:rPr>
                <w:sz w:val="22"/>
                <w:szCs w:val="22"/>
              </w:rPr>
            </w:pPr>
            <w:r w:rsidRPr="0084456B">
              <w:rPr>
                <w:sz w:val="22"/>
                <w:szCs w:val="22"/>
              </w:rPr>
              <w:t>Improved SEMH support across school</w:t>
            </w:r>
          </w:p>
          <w:p w14:paraId="2A7D5507" w14:textId="6DE63DBE"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DA87" w14:textId="3D51121C" w:rsidR="002D2D89" w:rsidRPr="002D2D89" w:rsidRDefault="002D2D89" w:rsidP="002D2D89">
            <w:pPr>
              <w:pStyle w:val="TableRowCentered"/>
              <w:jc w:val="left"/>
              <w:rPr>
                <w:sz w:val="22"/>
                <w:szCs w:val="22"/>
              </w:rPr>
            </w:pPr>
            <w:r w:rsidRPr="002D2D89">
              <w:rPr>
                <w:sz w:val="22"/>
                <w:szCs w:val="22"/>
              </w:rPr>
              <w:t>RADY/Pastoral Lead trained in SEMH, trauma-informed approaches, and dissemination to all staff</w:t>
            </w:r>
            <w:r w:rsidR="00B6537F">
              <w:rPr>
                <w:sz w:val="22"/>
                <w:szCs w:val="22"/>
              </w:rPr>
              <w:t>.</w:t>
            </w:r>
          </w:p>
          <w:p w14:paraId="76605258" w14:textId="6A308BBE" w:rsidR="002D2D89" w:rsidRPr="002D2D89" w:rsidRDefault="002D2D89" w:rsidP="002D2D89">
            <w:pPr>
              <w:pStyle w:val="TableRowCentered"/>
              <w:jc w:val="left"/>
              <w:rPr>
                <w:sz w:val="22"/>
                <w:szCs w:val="22"/>
              </w:rPr>
            </w:pPr>
            <w:r w:rsidRPr="002D2D89">
              <w:rPr>
                <w:sz w:val="22"/>
                <w:szCs w:val="22"/>
              </w:rPr>
              <w:t>Staff able to identify SEMH need early and use consistent strategies</w:t>
            </w:r>
            <w:r w:rsidR="00B6537F">
              <w:rPr>
                <w:sz w:val="22"/>
                <w:szCs w:val="22"/>
              </w:rPr>
              <w:t>.</w:t>
            </w:r>
          </w:p>
          <w:p w14:paraId="6843E9FC" w14:textId="2F7FAA16" w:rsidR="002D2D89" w:rsidRPr="002D2D89" w:rsidRDefault="002D2D89" w:rsidP="002D2D89">
            <w:pPr>
              <w:pStyle w:val="TableRowCentered"/>
              <w:jc w:val="left"/>
              <w:rPr>
                <w:sz w:val="22"/>
                <w:szCs w:val="22"/>
              </w:rPr>
            </w:pPr>
            <w:r w:rsidRPr="002D2D89">
              <w:rPr>
                <w:sz w:val="22"/>
                <w:szCs w:val="22"/>
              </w:rPr>
              <w:t>Improved pupil wellbeing indicators (</w:t>
            </w:r>
            <w:r w:rsidR="00B6537F">
              <w:rPr>
                <w:sz w:val="22"/>
                <w:szCs w:val="22"/>
              </w:rPr>
              <w:t xml:space="preserve">e.g. </w:t>
            </w:r>
            <w:r w:rsidRPr="002D2D89">
              <w:rPr>
                <w:sz w:val="22"/>
                <w:szCs w:val="22"/>
              </w:rPr>
              <w:t>behaviour logs)</w:t>
            </w:r>
          </w:p>
          <w:p w14:paraId="107457AB" w14:textId="4FACCEE1" w:rsidR="002D2D89" w:rsidRPr="002D2D89" w:rsidRDefault="00B6537F" w:rsidP="002D2D89">
            <w:pPr>
              <w:pStyle w:val="TableRowCentered"/>
              <w:jc w:val="left"/>
              <w:rPr>
                <w:sz w:val="22"/>
                <w:szCs w:val="22"/>
              </w:rPr>
            </w:pPr>
            <w:r>
              <w:rPr>
                <w:sz w:val="22"/>
                <w:szCs w:val="22"/>
              </w:rPr>
              <w:t>Red</w:t>
            </w:r>
            <w:r w:rsidR="002D2D89" w:rsidRPr="002D2D89">
              <w:rPr>
                <w:sz w:val="22"/>
                <w:szCs w:val="22"/>
              </w:rPr>
              <w:t>uction in incidents linked to dysregulation</w:t>
            </w:r>
            <w:r>
              <w:rPr>
                <w:sz w:val="22"/>
                <w:szCs w:val="22"/>
              </w:rPr>
              <w:t>.</w:t>
            </w:r>
          </w:p>
          <w:p w14:paraId="2A7D5508" w14:textId="09AD2D05" w:rsidR="00E66558" w:rsidRDefault="00E66558" w:rsidP="00C31636">
            <w:pPr>
              <w:pStyle w:val="TableRowCentered"/>
              <w:ind w:left="0" w:right="0"/>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C490C" w14:textId="77777777" w:rsidR="00FA0B22" w:rsidRPr="00FA0B22" w:rsidRDefault="00FA0B22" w:rsidP="00FA0B22">
            <w:pPr>
              <w:pStyle w:val="TableRow"/>
              <w:ind w:left="0"/>
              <w:rPr>
                <w:sz w:val="22"/>
                <w:szCs w:val="22"/>
              </w:rPr>
            </w:pPr>
            <w:r w:rsidRPr="00FA0B22">
              <w:rPr>
                <w:sz w:val="22"/>
                <w:szCs w:val="22"/>
              </w:rPr>
              <w:t>Stronger academic engagement and improved attainment for PP pupils</w:t>
            </w:r>
          </w:p>
          <w:p w14:paraId="2A7D550A" w14:textId="43833D8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3D4C" w14:textId="0C074F86" w:rsidR="009C4D88" w:rsidRPr="009C4D88" w:rsidRDefault="009C4D88" w:rsidP="009C4D88">
            <w:pPr>
              <w:pStyle w:val="TableRowCentered"/>
              <w:jc w:val="left"/>
              <w:rPr>
                <w:sz w:val="22"/>
                <w:szCs w:val="22"/>
              </w:rPr>
            </w:pPr>
            <w:r w:rsidRPr="009C4D88">
              <w:rPr>
                <w:sz w:val="22"/>
                <w:szCs w:val="22"/>
              </w:rPr>
              <w:t>PP pupils’ progress is in line with or better than non-PP peers</w:t>
            </w:r>
            <w:r>
              <w:rPr>
                <w:sz w:val="22"/>
                <w:szCs w:val="22"/>
              </w:rPr>
              <w:t>.</w:t>
            </w:r>
          </w:p>
          <w:p w14:paraId="08D04436" w14:textId="0F8272EB" w:rsidR="009C4D88" w:rsidRPr="009C4D88" w:rsidRDefault="009C4D88" w:rsidP="009C4D88">
            <w:pPr>
              <w:pStyle w:val="TableRowCentered"/>
              <w:jc w:val="left"/>
              <w:rPr>
                <w:sz w:val="22"/>
                <w:szCs w:val="22"/>
              </w:rPr>
            </w:pPr>
            <w:r w:rsidRPr="009C4D88">
              <w:rPr>
                <w:sz w:val="22"/>
                <w:szCs w:val="22"/>
              </w:rPr>
              <w:t>Increased engagement in targeted interventions</w:t>
            </w:r>
            <w:r>
              <w:rPr>
                <w:sz w:val="22"/>
                <w:szCs w:val="22"/>
              </w:rPr>
              <w:t>.</w:t>
            </w:r>
          </w:p>
          <w:p w14:paraId="38D5768D" w14:textId="1A7F4D6E" w:rsidR="009C4D88" w:rsidRPr="009C4D88" w:rsidRDefault="009C4D88" w:rsidP="009C4D88">
            <w:pPr>
              <w:pStyle w:val="TableRowCentered"/>
              <w:jc w:val="left"/>
              <w:rPr>
                <w:sz w:val="22"/>
                <w:szCs w:val="22"/>
              </w:rPr>
            </w:pPr>
            <w:r w:rsidRPr="009C4D88">
              <w:rPr>
                <w:sz w:val="22"/>
                <w:szCs w:val="22"/>
              </w:rPr>
              <w:t>Consistent evidence of metacognitive strategies used in lessons</w:t>
            </w:r>
            <w:r>
              <w:rPr>
                <w:sz w:val="22"/>
                <w:szCs w:val="22"/>
              </w:rPr>
              <w:t>.</w:t>
            </w:r>
          </w:p>
          <w:p w14:paraId="7031DC22" w14:textId="20CA474F" w:rsidR="009C4D88" w:rsidRPr="009C4D88" w:rsidRDefault="009C4D88" w:rsidP="009C4D88">
            <w:pPr>
              <w:pStyle w:val="TableRowCentered"/>
              <w:jc w:val="left"/>
              <w:rPr>
                <w:sz w:val="22"/>
                <w:szCs w:val="22"/>
              </w:rPr>
            </w:pPr>
            <w:r>
              <w:rPr>
                <w:sz w:val="22"/>
                <w:szCs w:val="22"/>
              </w:rPr>
              <w:t>Qu</w:t>
            </w:r>
            <w:r w:rsidRPr="009C4D88">
              <w:rPr>
                <w:sz w:val="22"/>
                <w:szCs w:val="22"/>
              </w:rPr>
              <w:t>ality-of-work sampling shows gaps closing over time</w:t>
            </w:r>
            <w:r>
              <w:rPr>
                <w:sz w:val="22"/>
                <w:szCs w:val="22"/>
              </w:rPr>
              <w:t>.</w:t>
            </w:r>
          </w:p>
          <w:p w14:paraId="2A7D550B" w14:textId="317B0C6C" w:rsidR="00E66558" w:rsidRDefault="00E66558" w:rsidP="00C31636">
            <w:pPr>
              <w:pStyle w:val="TableRowCentered"/>
              <w:ind w:left="0" w:righ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D3B61" w14:textId="77777777" w:rsidR="00025637" w:rsidRPr="00025637" w:rsidRDefault="00025637" w:rsidP="00025637">
            <w:pPr>
              <w:pStyle w:val="TableRow"/>
              <w:rPr>
                <w:i/>
                <w:iCs/>
                <w:sz w:val="22"/>
                <w:szCs w:val="22"/>
              </w:rPr>
            </w:pPr>
            <w:r w:rsidRPr="00025637">
              <w:rPr>
                <w:i/>
                <w:iCs/>
                <w:sz w:val="22"/>
                <w:szCs w:val="22"/>
              </w:rPr>
              <w:t>High-quality teaching</w:t>
            </w:r>
          </w:p>
          <w:p w14:paraId="2A7D551A" w14:textId="70155A11"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618AA" w14:textId="77777777" w:rsidR="000329B5" w:rsidRPr="000329B5" w:rsidRDefault="000329B5" w:rsidP="000329B5">
            <w:pPr>
              <w:pStyle w:val="TableRowCentered"/>
              <w:jc w:val="left"/>
              <w:rPr>
                <w:b/>
                <w:bCs/>
                <w:sz w:val="18"/>
                <w:szCs w:val="16"/>
              </w:rPr>
            </w:pPr>
            <w:r w:rsidRPr="000329B5">
              <w:rPr>
                <w:b/>
                <w:bCs/>
                <w:sz w:val="18"/>
                <w:szCs w:val="16"/>
              </w:rPr>
              <w:t>Activity 1: High-quality CPD on adaptive teaching (EEF: High-quality teaching)</w:t>
            </w:r>
          </w:p>
          <w:p w14:paraId="024D2839" w14:textId="23008D77" w:rsidR="000329B5" w:rsidRPr="000329B5" w:rsidRDefault="000329B5" w:rsidP="000329B5">
            <w:pPr>
              <w:pStyle w:val="TableRowCentered"/>
              <w:jc w:val="left"/>
              <w:rPr>
                <w:sz w:val="18"/>
                <w:szCs w:val="16"/>
              </w:rPr>
            </w:pPr>
            <w:r w:rsidRPr="000329B5">
              <w:rPr>
                <w:b/>
                <w:bCs/>
                <w:sz w:val="18"/>
                <w:szCs w:val="16"/>
              </w:rPr>
              <w:t>Evidence that supports this approach:</w:t>
            </w:r>
            <w:r w:rsidRPr="000329B5">
              <w:rPr>
                <w:sz w:val="18"/>
                <w:szCs w:val="16"/>
              </w:rPr>
              <w:br/>
              <w:t xml:space="preserve">The EEF states that </w:t>
            </w:r>
            <w:r w:rsidRPr="000329B5">
              <w:rPr>
                <w:b/>
                <w:bCs/>
                <w:sz w:val="18"/>
                <w:szCs w:val="16"/>
              </w:rPr>
              <w:t>high-quality teaching is the most important factor</w:t>
            </w:r>
            <w:r w:rsidRPr="000329B5">
              <w:rPr>
                <w:sz w:val="18"/>
                <w:szCs w:val="16"/>
              </w:rPr>
              <w:t xml:space="preserve"> in improving pupil outcomes. Training teachers in adaptive teaching, metacognition, and cognitively challenging instruction has strong evidence for improving learning, especially for disadvantaged pupils.</w:t>
            </w:r>
          </w:p>
          <w:p w14:paraId="650CCCD9" w14:textId="78657F16" w:rsidR="000329B5" w:rsidRPr="000329B5" w:rsidRDefault="000329B5" w:rsidP="000329B5">
            <w:pPr>
              <w:pStyle w:val="TableRowCentered"/>
              <w:jc w:val="left"/>
              <w:rPr>
                <w:sz w:val="18"/>
                <w:szCs w:val="16"/>
              </w:rPr>
            </w:pPr>
          </w:p>
          <w:p w14:paraId="371B9F3D" w14:textId="77777777" w:rsidR="000329B5" w:rsidRPr="000329B5" w:rsidRDefault="000329B5" w:rsidP="000329B5">
            <w:pPr>
              <w:pStyle w:val="TableRowCentered"/>
              <w:jc w:val="left"/>
              <w:rPr>
                <w:b/>
                <w:bCs/>
                <w:sz w:val="18"/>
                <w:szCs w:val="16"/>
              </w:rPr>
            </w:pPr>
            <w:r w:rsidRPr="000329B5">
              <w:rPr>
                <w:b/>
                <w:bCs/>
                <w:sz w:val="18"/>
                <w:szCs w:val="16"/>
              </w:rPr>
              <w:t>Activity 2: Development of whole-school metacognition and self-regulation strategies</w:t>
            </w:r>
          </w:p>
          <w:p w14:paraId="7FF92CDC" w14:textId="59C72189" w:rsidR="000329B5" w:rsidRPr="000329B5" w:rsidRDefault="000329B5" w:rsidP="000329B5">
            <w:pPr>
              <w:pStyle w:val="TableRowCentered"/>
              <w:jc w:val="left"/>
              <w:rPr>
                <w:sz w:val="18"/>
                <w:szCs w:val="16"/>
              </w:rPr>
            </w:pPr>
            <w:r w:rsidRPr="000329B5">
              <w:rPr>
                <w:b/>
                <w:bCs/>
                <w:sz w:val="18"/>
                <w:szCs w:val="16"/>
              </w:rPr>
              <w:t>Evidence that supports this approach:</w:t>
            </w:r>
            <w:r w:rsidRPr="000329B5">
              <w:rPr>
                <w:sz w:val="18"/>
                <w:szCs w:val="16"/>
              </w:rPr>
              <w:br/>
              <w:t xml:space="preserve">EEF guidance shows that </w:t>
            </w:r>
            <w:r w:rsidRPr="000329B5">
              <w:rPr>
                <w:b/>
                <w:bCs/>
                <w:sz w:val="18"/>
                <w:szCs w:val="16"/>
              </w:rPr>
              <w:t>metacognition and self-regulation approaches have high impact for very low cost</w:t>
            </w:r>
            <w:r w:rsidRPr="000329B5">
              <w:rPr>
                <w:sz w:val="18"/>
                <w:szCs w:val="16"/>
              </w:rPr>
              <w:t>, helping pupils plan, monitor, and evaluate their learning. These strategies particularly benefit disadvantaged pupils who may lack independent learning behaviours.</w:t>
            </w:r>
            <w:r w:rsidRPr="000329B5">
              <w:rPr>
                <w:sz w:val="18"/>
                <w:szCs w:val="16"/>
              </w:rPr>
              <w:br/>
            </w:r>
          </w:p>
          <w:p w14:paraId="153AE059" w14:textId="77777777" w:rsidR="000329B5" w:rsidRPr="000329B5" w:rsidRDefault="000329B5" w:rsidP="000329B5">
            <w:pPr>
              <w:pStyle w:val="TableRowCentered"/>
              <w:jc w:val="left"/>
              <w:rPr>
                <w:b/>
                <w:bCs/>
                <w:sz w:val="18"/>
                <w:szCs w:val="16"/>
              </w:rPr>
            </w:pPr>
            <w:r w:rsidRPr="000329B5">
              <w:rPr>
                <w:b/>
                <w:bCs/>
                <w:sz w:val="18"/>
                <w:szCs w:val="16"/>
              </w:rPr>
              <w:t>Activity 3: Curriculum refinement &amp; staff training in high-quality modelling and scaffolding</w:t>
            </w:r>
          </w:p>
          <w:p w14:paraId="129F86BD" w14:textId="171E1A99" w:rsidR="000329B5" w:rsidRPr="000329B5" w:rsidRDefault="000329B5" w:rsidP="000329B5">
            <w:pPr>
              <w:pStyle w:val="TableRowCentered"/>
              <w:jc w:val="left"/>
              <w:rPr>
                <w:sz w:val="18"/>
                <w:szCs w:val="16"/>
              </w:rPr>
            </w:pPr>
            <w:r w:rsidRPr="000329B5">
              <w:rPr>
                <w:b/>
                <w:bCs/>
                <w:sz w:val="18"/>
                <w:szCs w:val="16"/>
              </w:rPr>
              <w:t>Evidence that supports this approach:</w:t>
            </w:r>
            <w:r w:rsidRPr="000329B5">
              <w:rPr>
                <w:sz w:val="18"/>
                <w:szCs w:val="16"/>
              </w:rPr>
              <w:br/>
              <w:t>EEF identifies explicit instruction, high-quality modelling, scaffolding, and feedback as core to effective teaching. Consistency across subjects is shown to disproportionately benefit disadvantaged pupils.</w:t>
            </w:r>
            <w:r w:rsidRPr="000329B5">
              <w:rPr>
                <w:sz w:val="18"/>
                <w:szCs w:val="16"/>
              </w:rPr>
              <w:br/>
            </w:r>
          </w:p>
          <w:p w14:paraId="0D00B497" w14:textId="77777777" w:rsidR="000329B5" w:rsidRPr="000329B5" w:rsidRDefault="000329B5" w:rsidP="000329B5">
            <w:pPr>
              <w:pStyle w:val="TableRowCentered"/>
              <w:jc w:val="left"/>
              <w:rPr>
                <w:b/>
                <w:bCs/>
                <w:sz w:val="18"/>
                <w:szCs w:val="16"/>
              </w:rPr>
            </w:pPr>
            <w:r w:rsidRPr="000329B5">
              <w:rPr>
                <w:b/>
                <w:bCs/>
                <w:sz w:val="18"/>
                <w:szCs w:val="16"/>
              </w:rPr>
              <w:t>Activity 4: Recruitment &amp; retention of high-quality teachers</w:t>
            </w:r>
          </w:p>
          <w:p w14:paraId="6F1CB39C" w14:textId="6383CEBE" w:rsidR="000329B5" w:rsidRPr="000329B5" w:rsidRDefault="000329B5" w:rsidP="000329B5">
            <w:pPr>
              <w:pStyle w:val="TableRowCentered"/>
              <w:jc w:val="left"/>
              <w:rPr>
                <w:sz w:val="18"/>
                <w:szCs w:val="16"/>
              </w:rPr>
            </w:pPr>
            <w:r w:rsidRPr="000329B5">
              <w:rPr>
                <w:b/>
                <w:bCs/>
                <w:sz w:val="18"/>
                <w:szCs w:val="16"/>
              </w:rPr>
              <w:t>Evidence that supports this approach:</w:t>
            </w:r>
            <w:r w:rsidRPr="000329B5">
              <w:rPr>
                <w:sz w:val="18"/>
                <w:szCs w:val="16"/>
              </w:rPr>
              <w:br/>
              <w:t xml:space="preserve">EEF emphasises that </w:t>
            </w:r>
            <w:r w:rsidRPr="000329B5">
              <w:rPr>
                <w:b/>
                <w:bCs/>
                <w:sz w:val="18"/>
                <w:szCs w:val="16"/>
              </w:rPr>
              <w:t>investing in teaching quality has the largest impact</w:t>
            </w:r>
            <w:r w:rsidRPr="000329B5">
              <w:rPr>
                <w:sz w:val="18"/>
                <w:szCs w:val="16"/>
              </w:rPr>
              <w:t xml:space="preserve"> on pupil progress. Retention allows greater consistency of relationships and practice, crucial for disadvantaged pupils.</w:t>
            </w:r>
            <w:r w:rsidRPr="000329B5">
              <w:rPr>
                <w:sz w:val="18"/>
                <w:szCs w:val="16"/>
              </w:rPr>
              <w:br/>
            </w:r>
            <w:r w:rsidRPr="000329B5">
              <w:rPr>
                <w:sz w:val="18"/>
                <w:szCs w:val="16"/>
              </w:rPr>
              <w:br/>
            </w:r>
          </w:p>
          <w:p w14:paraId="2A7D551B" w14:textId="77777777" w:rsidR="00E66558" w:rsidRPr="000329B5" w:rsidRDefault="00E66558" w:rsidP="000329B5">
            <w:pPr>
              <w:pStyle w:val="TableRowCentered"/>
              <w:ind w:left="0" w:right="0"/>
              <w:jc w:val="left"/>
              <w:rPr>
                <w:sz w:val="18"/>
                <w:szCs w:val="16"/>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B425" w14:textId="77777777" w:rsidR="00E66558" w:rsidRDefault="000329B5" w:rsidP="00C31636">
            <w:pPr>
              <w:pStyle w:val="TableRowCentered"/>
              <w:ind w:left="0" w:right="0"/>
              <w:jc w:val="left"/>
              <w:rPr>
                <w:sz w:val="18"/>
                <w:szCs w:val="16"/>
              </w:rPr>
            </w:pPr>
            <w:r w:rsidRPr="000329B5">
              <w:rPr>
                <w:sz w:val="18"/>
                <w:szCs w:val="16"/>
              </w:rPr>
              <w:t>3 (Attainment), 2 (SEMH where consistent practice improves regulation), 1 (engagement improves attendance)</w:t>
            </w:r>
          </w:p>
          <w:p w14:paraId="19BE4189" w14:textId="77777777" w:rsidR="000329B5" w:rsidRDefault="000329B5" w:rsidP="00C31636">
            <w:pPr>
              <w:pStyle w:val="TableRowCentered"/>
              <w:ind w:left="0" w:right="0"/>
              <w:jc w:val="left"/>
              <w:rPr>
                <w:sz w:val="22"/>
              </w:rPr>
            </w:pPr>
          </w:p>
          <w:p w14:paraId="103D3B14" w14:textId="77777777" w:rsidR="000329B5" w:rsidRDefault="000329B5" w:rsidP="00C31636">
            <w:pPr>
              <w:pStyle w:val="TableRowCentered"/>
              <w:ind w:left="0" w:right="0"/>
              <w:jc w:val="left"/>
              <w:rPr>
                <w:sz w:val="22"/>
              </w:rPr>
            </w:pPr>
          </w:p>
          <w:p w14:paraId="40526C05" w14:textId="77777777" w:rsidR="000329B5" w:rsidRDefault="000329B5" w:rsidP="00C31636">
            <w:pPr>
              <w:pStyle w:val="TableRowCentered"/>
              <w:ind w:left="0" w:right="0"/>
              <w:jc w:val="left"/>
              <w:rPr>
                <w:sz w:val="22"/>
              </w:rPr>
            </w:pPr>
          </w:p>
          <w:p w14:paraId="623F5FB4" w14:textId="77777777" w:rsidR="000329B5" w:rsidRDefault="000329B5" w:rsidP="00C31636">
            <w:pPr>
              <w:pStyle w:val="TableRowCentered"/>
              <w:ind w:left="0" w:right="0"/>
              <w:jc w:val="left"/>
              <w:rPr>
                <w:sz w:val="22"/>
              </w:rPr>
            </w:pPr>
          </w:p>
          <w:p w14:paraId="1A41137C" w14:textId="77777777" w:rsidR="000329B5" w:rsidRDefault="000329B5" w:rsidP="00C31636">
            <w:pPr>
              <w:pStyle w:val="TableRowCentered"/>
              <w:ind w:left="0" w:right="0"/>
              <w:jc w:val="left"/>
              <w:rPr>
                <w:sz w:val="18"/>
                <w:szCs w:val="16"/>
              </w:rPr>
            </w:pPr>
            <w:r w:rsidRPr="000329B5">
              <w:rPr>
                <w:sz w:val="18"/>
                <w:szCs w:val="16"/>
              </w:rPr>
              <w:t>3 (closing gaps), 2 (reducing anxieties linked to learning)</w:t>
            </w:r>
          </w:p>
          <w:p w14:paraId="6FBFF42D" w14:textId="77777777" w:rsidR="000329B5" w:rsidRDefault="000329B5" w:rsidP="00C31636">
            <w:pPr>
              <w:pStyle w:val="TableRowCentered"/>
              <w:ind w:left="0" w:right="0"/>
              <w:jc w:val="left"/>
              <w:rPr>
                <w:sz w:val="22"/>
              </w:rPr>
            </w:pPr>
          </w:p>
          <w:p w14:paraId="5E966167" w14:textId="77777777" w:rsidR="000329B5" w:rsidRDefault="000329B5" w:rsidP="00C31636">
            <w:pPr>
              <w:pStyle w:val="TableRowCentered"/>
              <w:ind w:left="0" w:right="0"/>
              <w:jc w:val="left"/>
              <w:rPr>
                <w:sz w:val="22"/>
              </w:rPr>
            </w:pPr>
          </w:p>
          <w:p w14:paraId="50B43A35" w14:textId="77777777" w:rsidR="000329B5" w:rsidRDefault="000329B5" w:rsidP="00C31636">
            <w:pPr>
              <w:pStyle w:val="TableRowCentered"/>
              <w:ind w:left="0" w:right="0"/>
              <w:jc w:val="left"/>
              <w:rPr>
                <w:sz w:val="22"/>
              </w:rPr>
            </w:pPr>
          </w:p>
          <w:p w14:paraId="3AEB49B1" w14:textId="77777777" w:rsidR="000329B5" w:rsidRDefault="000329B5" w:rsidP="00C31636">
            <w:pPr>
              <w:pStyle w:val="TableRowCentered"/>
              <w:ind w:left="0" w:right="0"/>
              <w:jc w:val="left"/>
              <w:rPr>
                <w:sz w:val="22"/>
              </w:rPr>
            </w:pPr>
          </w:p>
          <w:p w14:paraId="3EDCCC47" w14:textId="77777777" w:rsidR="000329B5" w:rsidRDefault="000329B5" w:rsidP="00C31636">
            <w:pPr>
              <w:pStyle w:val="TableRowCentered"/>
              <w:ind w:left="0" w:right="0"/>
              <w:jc w:val="left"/>
              <w:rPr>
                <w:sz w:val="22"/>
              </w:rPr>
            </w:pPr>
          </w:p>
          <w:p w14:paraId="7FC3BE13" w14:textId="77777777" w:rsidR="000329B5" w:rsidRDefault="000329B5" w:rsidP="00C31636">
            <w:pPr>
              <w:pStyle w:val="TableRowCentered"/>
              <w:ind w:left="0" w:right="0"/>
              <w:jc w:val="left"/>
              <w:rPr>
                <w:sz w:val="22"/>
              </w:rPr>
            </w:pPr>
          </w:p>
          <w:p w14:paraId="7493DFDC" w14:textId="77777777" w:rsidR="000329B5" w:rsidRDefault="000329B5" w:rsidP="00C31636">
            <w:pPr>
              <w:pStyle w:val="TableRowCentered"/>
              <w:ind w:left="0" w:right="0"/>
              <w:jc w:val="left"/>
              <w:rPr>
                <w:sz w:val="18"/>
                <w:szCs w:val="16"/>
              </w:rPr>
            </w:pPr>
            <w:r w:rsidRPr="000329B5">
              <w:rPr>
                <w:sz w:val="18"/>
                <w:szCs w:val="16"/>
              </w:rPr>
              <w:t>3 (Attainment)</w:t>
            </w:r>
          </w:p>
          <w:p w14:paraId="5E60D9B0" w14:textId="77777777" w:rsidR="000329B5" w:rsidRDefault="000329B5" w:rsidP="00C31636">
            <w:pPr>
              <w:pStyle w:val="TableRowCentered"/>
              <w:ind w:left="0" w:right="0"/>
              <w:jc w:val="left"/>
              <w:rPr>
                <w:sz w:val="22"/>
              </w:rPr>
            </w:pPr>
          </w:p>
          <w:p w14:paraId="501C2C0E" w14:textId="77777777" w:rsidR="000329B5" w:rsidRDefault="000329B5" w:rsidP="00C31636">
            <w:pPr>
              <w:pStyle w:val="TableRowCentered"/>
              <w:ind w:left="0" w:right="0"/>
              <w:jc w:val="left"/>
              <w:rPr>
                <w:sz w:val="22"/>
              </w:rPr>
            </w:pPr>
          </w:p>
          <w:p w14:paraId="2D4D3578" w14:textId="77777777" w:rsidR="000329B5" w:rsidRDefault="000329B5" w:rsidP="00C31636">
            <w:pPr>
              <w:pStyle w:val="TableRowCentered"/>
              <w:ind w:left="0" w:right="0"/>
              <w:jc w:val="left"/>
              <w:rPr>
                <w:sz w:val="22"/>
              </w:rPr>
            </w:pPr>
          </w:p>
          <w:p w14:paraId="25F08F06" w14:textId="77777777" w:rsidR="000329B5" w:rsidRDefault="000329B5" w:rsidP="00C31636">
            <w:pPr>
              <w:pStyle w:val="TableRowCentered"/>
              <w:ind w:left="0" w:right="0"/>
              <w:jc w:val="left"/>
              <w:rPr>
                <w:sz w:val="22"/>
              </w:rPr>
            </w:pPr>
          </w:p>
          <w:p w14:paraId="0B39986F" w14:textId="77777777" w:rsidR="000329B5" w:rsidRDefault="000329B5" w:rsidP="00C31636">
            <w:pPr>
              <w:pStyle w:val="TableRowCentered"/>
              <w:ind w:left="0" w:right="0"/>
              <w:jc w:val="left"/>
              <w:rPr>
                <w:sz w:val="22"/>
              </w:rPr>
            </w:pPr>
          </w:p>
          <w:p w14:paraId="0FE1409E" w14:textId="77777777" w:rsidR="000329B5" w:rsidRDefault="000329B5" w:rsidP="00C31636">
            <w:pPr>
              <w:pStyle w:val="TableRowCentered"/>
              <w:ind w:left="0" w:right="0"/>
              <w:jc w:val="left"/>
              <w:rPr>
                <w:sz w:val="22"/>
              </w:rPr>
            </w:pPr>
          </w:p>
          <w:p w14:paraId="2A7D551C" w14:textId="4F78ACA3" w:rsidR="000329B5" w:rsidRDefault="000329B5" w:rsidP="00C31636">
            <w:pPr>
              <w:pStyle w:val="TableRowCentered"/>
              <w:ind w:left="0" w:right="0"/>
              <w:jc w:val="left"/>
              <w:rPr>
                <w:sz w:val="22"/>
              </w:rPr>
            </w:pPr>
            <w:r w:rsidRPr="000329B5">
              <w:rPr>
                <w:sz w:val="18"/>
                <w:szCs w:val="16"/>
              </w:rPr>
              <w:t>3 (Attainment), 2 (Stable relationships support emotional needs)</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D289" w14:textId="77777777" w:rsidR="00025637" w:rsidRPr="00025637" w:rsidRDefault="00025637" w:rsidP="00025637">
            <w:pPr>
              <w:pStyle w:val="TableRow"/>
              <w:rPr>
                <w:i/>
                <w:sz w:val="22"/>
              </w:rPr>
            </w:pPr>
            <w:r w:rsidRPr="00025637">
              <w:rPr>
                <w:i/>
                <w:sz w:val="22"/>
              </w:rPr>
              <w:t>Targeted academic support</w:t>
            </w:r>
          </w:p>
          <w:p w14:paraId="2A7D551E" w14:textId="7B961440"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F5E" w14:textId="77777777" w:rsidR="000329B5" w:rsidRPr="000329B5" w:rsidRDefault="000329B5" w:rsidP="000329B5">
            <w:pPr>
              <w:pStyle w:val="TableRowCentered"/>
              <w:jc w:val="left"/>
              <w:rPr>
                <w:b/>
                <w:bCs/>
                <w:sz w:val="18"/>
                <w:szCs w:val="16"/>
              </w:rPr>
            </w:pPr>
            <w:r w:rsidRPr="000329B5">
              <w:rPr>
                <w:b/>
                <w:bCs/>
                <w:sz w:val="18"/>
                <w:szCs w:val="16"/>
              </w:rPr>
              <w:t>Activity 1: Structured small-group interventions (Reading, Writing, Maths)</w:t>
            </w:r>
          </w:p>
          <w:p w14:paraId="29922B17" w14:textId="73EFC07B" w:rsidR="000329B5" w:rsidRPr="000329B5" w:rsidRDefault="000329B5" w:rsidP="000329B5">
            <w:pPr>
              <w:pStyle w:val="TableRowCentered"/>
              <w:jc w:val="left"/>
              <w:rPr>
                <w:sz w:val="18"/>
                <w:szCs w:val="16"/>
              </w:rPr>
            </w:pPr>
            <w:r w:rsidRPr="000329B5">
              <w:rPr>
                <w:b/>
                <w:bCs/>
                <w:sz w:val="18"/>
                <w:szCs w:val="16"/>
              </w:rPr>
              <w:t>Evidence that supports this approach:</w:t>
            </w:r>
            <w:r w:rsidRPr="000329B5">
              <w:rPr>
                <w:sz w:val="18"/>
                <w:szCs w:val="16"/>
              </w:rPr>
              <w:br/>
              <w:t xml:space="preserve">EEF shows </w:t>
            </w:r>
            <w:r w:rsidRPr="000329B5">
              <w:rPr>
                <w:b/>
                <w:bCs/>
                <w:sz w:val="18"/>
                <w:szCs w:val="16"/>
              </w:rPr>
              <w:t>targeted small-group tuition</w:t>
            </w:r>
            <w:r w:rsidRPr="000329B5">
              <w:rPr>
                <w:sz w:val="18"/>
                <w:szCs w:val="16"/>
              </w:rPr>
              <w:t xml:space="preserve"> is highly effective when structured, linked to classroom learning, and delivered by trained adults. Evidence suggests </w:t>
            </w:r>
            <w:r w:rsidRPr="000329B5">
              <w:rPr>
                <w:b/>
                <w:bCs/>
                <w:sz w:val="18"/>
                <w:szCs w:val="16"/>
              </w:rPr>
              <w:t>4+ months additional progress</w:t>
            </w:r>
            <w:r w:rsidRPr="000329B5">
              <w:rPr>
                <w:sz w:val="18"/>
                <w:szCs w:val="16"/>
              </w:rPr>
              <w:t xml:space="preserve"> on average.</w:t>
            </w:r>
            <w:r w:rsidRPr="000329B5">
              <w:rPr>
                <w:sz w:val="18"/>
                <w:szCs w:val="16"/>
              </w:rPr>
              <w:br/>
            </w:r>
          </w:p>
          <w:p w14:paraId="2A7D551F" w14:textId="626229D5" w:rsidR="00E66558" w:rsidRPr="000329B5" w:rsidRDefault="000329B5" w:rsidP="000329B5">
            <w:pPr>
              <w:pStyle w:val="TableRowCentered"/>
              <w:jc w:val="left"/>
              <w:rPr>
                <w:sz w:val="18"/>
                <w:szCs w:val="16"/>
              </w:rPr>
            </w:pPr>
            <w:r w:rsidRPr="000329B5">
              <w:rPr>
                <w:sz w:val="18"/>
                <w:szCs w:val="16"/>
              </w:rPr>
              <w:br/>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E58E" w14:textId="77777777" w:rsidR="00E66558" w:rsidRDefault="000329B5" w:rsidP="00C31636">
            <w:pPr>
              <w:pStyle w:val="TableRowCentered"/>
              <w:ind w:left="0" w:right="0"/>
              <w:jc w:val="left"/>
              <w:rPr>
                <w:sz w:val="18"/>
                <w:szCs w:val="16"/>
              </w:rPr>
            </w:pPr>
            <w:r w:rsidRPr="000329B5">
              <w:rPr>
                <w:sz w:val="18"/>
                <w:szCs w:val="16"/>
              </w:rPr>
              <w:t>3 (Attainment), 1 (Engagement → attendance)</w:t>
            </w:r>
          </w:p>
          <w:p w14:paraId="2A7D5520" w14:textId="3AA6F195" w:rsidR="000329B5" w:rsidRDefault="000329B5" w:rsidP="00C31636">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E0F1849" w:rsidR="00E66558" w:rsidRDefault="004A5039" w:rsidP="00C31636">
            <w:pPr>
              <w:pStyle w:val="TableRow"/>
              <w:ind w:left="0" w:right="0"/>
            </w:pPr>
            <w:r>
              <w:rPr>
                <w:i/>
                <w:iCs/>
                <w:sz w:val="22"/>
                <w:szCs w:val="22"/>
              </w:rPr>
              <w:t>Lego group/morning group</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E9F8" w14:textId="77777777" w:rsidR="000329B5" w:rsidRPr="000329B5" w:rsidRDefault="000329B5" w:rsidP="000329B5">
            <w:pPr>
              <w:pStyle w:val="TableRowCentered"/>
              <w:jc w:val="left"/>
              <w:rPr>
                <w:b/>
                <w:bCs/>
                <w:sz w:val="18"/>
                <w:szCs w:val="16"/>
              </w:rPr>
            </w:pPr>
            <w:r w:rsidRPr="000329B5">
              <w:rPr>
                <w:b/>
                <w:bCs/>
                <w:sz w:val="18"/>
                <w:szCs w:val="16"/>
              </w:rPr>
              <w:t>Activity 3: LEGO Therapy / Morning Regulation Groups</w:t>
            </w:r>
          </w:p>
          <w:p w14:paraId="2A7D552A" w14:textId="6F27C5A1" w:rsidR="00E66558" w:rsidRDefault="000329B5" w:rsidP="000329B5">
            <w:pPr>
              <w:pStyle w:val="TableRowCentered"/>
              <w:ind w:left="0" w:right="0"/>
              <w:jc w:val="left"/>
              <w:rPr>
                <w:sz w:val="22"/>
              </w:rPr>
            </w:pPr>
            <w:r w:rsidRPr="000329B5">
              <w:rPr>
                <w:b/>
                <w:bCs/>
                <w:sz w:val="18"/>
                <w:szCs w:val="16"/>
              </w:rPr>
              <w:t>Evidence that supports this approach:</w:t>
            </w:r>
            <w:r w:rsidRPr="000329B5">
              <w:rPr>
                <w:sz w:val="18"/>
                <w:szCs w:val="16"/>
              </w:rPr>
              <w:br/>
              <w:t xml:space="preserve">While not academic tutoring, EEF’s guidance on </w:t>
            </w:r>
            <w:r w:rsidRPr="000329B5">
              <w:rPr>
                <w:b/>
                <w:bCs/>
                <w:sz w:val="18"/>
                <w:szCs w:val="16"/>
              </w:rPr>
              <w:t>social and emotional learning</w:t>
            </w:r>
            <w:r w:rsidRPr="000329B5">
              <w:rPr>
                <w:sz w:val="18"/>
                <w:szCs w:val="16"/>
              </w:rPr>
              <w:t xml:space="preserve"> highlights that interventions which develop communication, collaboration, and emotional regulation can significantly improve academic outcomes indirectly.</w:t>
            </w:r>
            <w:r w:rsidRPr="000329B5">
              <w:rPr>
                <w:sz w:val="18"/>
                <w:szCs w:val="16"/>
              </w:rPr>
              <w:br/>
              <w:t>Morning groups also support pupils in being “ready to learn,” improving focus and reducing early-day dysregulation.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18EA371" w:rsidR="00E66558" w:rsidRDefault="000329B5" w:rsidP="00C31636">
            <w:pPr>
              <w:pStyle w:val="TableRowCentered"/>
              <w:ind w:left="0" w:right="0"/>
              <w:jc w:val="left"/>
              <w:rPr>
                <w:sz w:val="22"/>
              </w:rPr>
            </w:pPr>
            <w:r w:rsidRPr="000329B5">
              <w:rPr>
                <w:sz w:val="18"/>
                <w:szCs w:val="16"/>
              </w:rPr>
              <w:t>2 (SEMH), 1 (Attendance—improves morning routines), 3 (learning behaviours that support attainment)</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78A4EB56" w:rsidR="00E66558" w:rsidRDefault="004A5039" w:rsidP="00C31636">
            <w:pPr>
              <w:pStyle w:val="TableRow"/>
              <w:ind w:left="0" w:right="0"/>
              <w:rPr>
                <w:i/>
                <w:sz w:val="22"/>
              </w:rPr>
            </w:pPr>
            <w:r>
              <w:rPr>
                <w:i/>
                <w:sz w:val="22"/>
              </w:rPr>
              <w:t>Rady/Pastoral lead release time to carry out one-one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F1C0D" w14:textId="77777777" w:rsidR="000329B5" w:rsidRPr="000329B5" w:rsidRDefault="000329B5" w:rsidP="000329B5">
            <w:pPr>
              <w:pStyle w:val="TableRowCentered"/>
              <w:jc w:val="left"/>
              <w:rPr>
                <w:b/>
                <w:bCs/>
                <w:sz w:val="18"/>
                <w:szCs w:val="16"/>
              </w:rPr>
            </w:pPr>
            <w:r w:rsidRPr="000329B5">
              <w:rPr>
                <w:b/>
                <w:bCs/>
                <w:sz w:val="18"/>
                <w:szCs w:val="16"/>
              </w:rPr>
              <w:t>Activity 2: 1:1 support / pastoral-led academic mentoring (Rady/Pastoral Lead release time)</w:t>
            </w:r>
          </w:p>
          <w:p w14:paraId="2A7D552E" w14:textId="4613F9E9" w:rsidR="00E66558" w:rsidRDefault="000329B5" w:rsidP="000329B5">
            <w:pPr>
              <w:pStyle w:val="TableRowCentered"/>
              <w:ind w:left="0" w:right="0"/>
              <w:jc w:val="left"/>
              <w:rPr>
                <w:sz w:val="22"/>
              </w:rPr>
            </w:pPr>
            <w:r w:rsidRPr="000329B5">
              <w:rPr>
                <w:b/>
                <w:bCs/>
                <w:sz w:val="18"/>
                <w:szCs w:val="16"/>
              </w:rPr>
              <w:t>Evidence that supports this approach:</w:t>
            </w:r>
            <w:r w:rsidRPr="000329B5">
              <w:rPr>
                <w:sz w:val="18"/>
                <w:szCs w:val="16"/>
              </w:rPr>
              <w:br/>
              <w:t xml:space="preserve">EEF notes that </w:t>
            </w:r>
            <w:r w:rsidRPr="000329B5">
              <w:rPr>
                <w:b/>
                <w:bCs/>
                <w:sz w:val="18"/>
                <w:szCs w:val="16"/>
              </w:rPr>
              <w:t>1:1 tutoring has very high impact</w:t>
            </w:r>
            <w:r w:rsidRPr="000329B5">
              <w:rPr>
                <w:sz w:val="18"/>
                <w:szCs w:val="16"/>
              </w:rPr>
              <w:t>, improving academic progress when closely monitored. Attending to barriers (SEMH, routines, organisation) increases readiness to learn.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3A10" w14:textId="77777777" w:rsidR="000329B5" w:rsidRDefault="000329B5" w:rsidP="000329B5">
            <w:pPr>
              <w:pStyle w:val="TableRowCentered"/>
              <w:ind w:left="0" w:right="0"/>
              <w:jc w:val="left"/>
              <w:rPr>
                <w:sz w:val="18"/>
                <w:szCs w:val="16"/>
              </w:rPr>
            </w:pPr>
            <w:r w:rsidRPr="000329B5">
              <w:rPr>
                <w:sz w:val="18"/>
                <w:szCs w:val="16"/>
              </w:rPr>
              <w:t>2 (SEMH), 3 (Attainment), 1 (Attendance through improved engagement)</w:t>
            </w:r>
          </w:p>
          <w:p w14:paraId="2A7D552F" w14:textId="77777777" w:rsidR="00E66558" w:rsidRDefault="00E66558" w:rsidP="00C31636">
            <w:pPr>
              <w:pStyle w:val="TableRowCentered"/>
              <w:ind w:left="0" w:right="0"/>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16A5E7BD" w:rsidR="00E66558" w:rsidRDefault="004A5039" w:rsidP="00C31636">
            <w:pPr>
              <w:pStyle w:val="TableRow"/>
              <w:ind w:left="0" w:right="0"/>
            </w:pPr>
            <w:r>
              <w:rPr>
                <w:i/>
                <w:iCs/>
                <w:sz w:val="22"/>
                <w:szCs w:val="22"/>
              </w:rPr>
              <w:t>Free breakfast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DB9FC26" w:rsidR="00E66558" w:rsidRPr="000329B5" w:rsidRDefault="000329B5" w:rsidP="00C31636">
            <w:pPr>
              <w:pStyle w:val="TableRowCentered"/>
              <w:ind w:left="0" w:right="0"/>
              <w:jc w:val="left"/>
              <w:rPr>
                <w:sz w:val="18"/>
                <w:szCs w:val="16"/>
              </w:rPr>
            </w:pPr>
            <w:r w:rsidRPr="000329B5">
              <w:rPr>
                <w:b/>
                <w:bCs/>
                <w:sz w:val="18"/>
                <w:szCs w:val="16"/>
              </w:rPr>
              <w:t>Evidence that supports this approach:</w:t>
            </w:r>
            <w:r w:rsidRPr="000329B5">
              <w:rPr>
                <w:sz w:val="18"/>
                <w:szCs w:val="16"/>
              </w:rPr>
              <w:br/>
              <w:t>EEF identifies attendance, routines, and readiness to learn as key barriers for disadvantaged pupils. Access to breakfast provision is linked to improved punctuality, better concentration, and reduced behaviour incidents.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592738A" w:rsidR="00E66558" w:rsidRPr="000329B5" w:rsidRDefault="000329B5" w:rsidP="00C31636">
            <w:pPr>
              <w:pStyle w:val="TableRowCentered"/>
              <w:ind w:left="0" w:right="0"/>
              <w:jc w:val="left"/>
              <w:rPr>
                <w:sz w:val="18"/>
                <w:szCs w:val="16"/>
              </w:rPr>
            </w:pPr>
            <w:r w:rsidRPr="000329B5">
              <w:rPr>
                <w:sz w:val="18"/>
                <w:szCs w:val="16"/>
              </w:rPr>
              <w:t>1 (Attendance), 2 (SEMH through stable morning routines)</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1584EF57" w:rsidR="00E66558" w:rsidRDefault="004A5039" w:rsidP="00C31636">
            <w:pPr>
              <w:pStyle w:val="TableRow"/>
              <w:ind w:left="0" w:right="0"/>
              <w:rPr>
                <w:i/>
                <w:sz w:val="22"/>
              </w:rPr>
            </w:pPr>
            <w:r>
              <w:rPr>
                <w:i/>
                <w:sz w:val="22"/>
              </w:rPr>
              <w:t>Morning pick-ups by SLT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5A63C05" w:rsidR="00E66558" w:rsidRPr="000329B5" w:rsidRDefault="000329B5" w:rsidP="00C31636">
            <w:pPr>
              <w:pStyle w:val="TableRowCentered"/>
              <w:ind w:left="0" w:right="0"/>
              <w:jc w:val="left"/>
              <w:rPr>
                <w:sz w:val="18"/>
                <w:szCs w:val="16"/>
              </w:rPr>
            </w:pPr>
            <w:r w:rsidRPr="000329B5">
              <w:rPr>
                <w:b/>
                <w:bCs/>
                <w:sz w:val="18"/>
                <w:szCs w:val="16"/>
              </w:rPr>
              <w:t>Evidence that supports this approach:</w:t>
            </w:r>
            <w:r w:rsidRPr="000329B5">
              <w:rPr>
                <w:sz w:val="18"/>
                <w:szCs w:val="16"/>
              </w:rPr>
              <w:br/>
              <w:t xml:space="preserve">The EEF’s guidance on attendance highlights that </w:t>
            </w:r>
            <w:r w:rsidRPr="000329B5">
              <w:rPr>
                <w:b/>
                <w:bCs/>
                <w:sz w:val="18"/>
                <w:szCs w:val="16"/>
              </w:rPr>
              <w:t>proactive, relationship-based approaches</w:t>
            </w:r>
            <w:r w:rsidRPr="000329B5">
              <w:rPr>
                <w:sz w:val="18"/>
                <w:szCs w:val="16"/>
              </w:rPr>
              <w:t xml:space="preserve"> to attendance have the strongest evidence. Consistent adult support helps overcome logistical, emotional, and motivational barriers.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58FB0E8" w:rsidR="00E66558" w:rsidRPr="000329B5" w:rsidRDefault="000329B5" w:rsidP="00C31636">
            <w:pPr>
              <w:pStyle w:val="TableRowCentered"/>
              <w:ind w:left="0" w:right="0"/>
              <w:jc w:val="left"/>
              <w:rPr>
                <w:sz w:val="18"/>
                <w:szCs w:val="16"/>
              </w:rPr>
            </w:pPr>
            <w:r w:rsidRPr="000329B5">
              <w:rPr>
                <w:sz w:val="18"/>
                <w:szCs w:val="16"/>
              </w:rPr>
              <w:t>1 (Attendance), 2 (SEMH—relational support)</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84EFC" w14:textId="37817BB8" w:rsidR="00A35033" w:rsidRPr="00A35033" w:rsidRDefault="00A35033" w:rsidP="00A35033">
            <w:pPr>
              <w:rPr>
                <w:i/>
                <w:iCs/>
                <w:color w:val="000000"/>
              </w:rPr>
            </w:pPr>
            <w:r>
              <w:rPr>
                <w:i/>
                <w:iCs/>
                <w:color w:val="000000"/>
              </w:rPr>
              <w:t>L</w:t>
            </w:r>
            <w:r w:rsidRPr="00A35033">
              <w:rPr>
                <w:i/>
                <w:iCs/>
                <w:color w:val="000000"/>
              </w:rPr>
              <w:t>ast academic year, the school continued to prioritise the needs of disadvantaged pupils, focusing on improving attendance, strengthening SEMH provision, and supporting academic progress following the longer-term impact of Covid-19 on learning.</w:t>
            </w:r>
          </w:p>
          <w:p w14:paraId="501AEF30" w14:textId="77777777" w:rsidR="00A35033" w:rsidRPr="00A35033" w:rsidRDefault="00A35033" w:rsidP="00A35033">
            <w:pPr>
              <w:rPr>
                <w:i/>
                <w:iCs/>
                <w:color w:val="000000"/>
              </w:rPr>
            </w:pPr>
            <w:r w:rsidRPr="00A35033">
              <w:rPr>
                <w:b/>
                <w:bCs/>
                <w:i/>
                <w:iCs/>
                <w:color w:val="000000"/>
              </w:rPr>
              <w:t>Attendance:</w:t>
            </w:r>
            <w:r w:rsidRPr="00A35033">
              <w:rPr>
                <w:i/>
                <w:iCs/>
                <w:color w:val="000000"/>
              </w:rPr>
              <w:br/>
              <w:t>Attendance for disadvantaged pupils remained below that of non-disadvantaged peers, with persistent absence remaining a significant challenge. However, pupils supported through daily check-ins, pastoral intervention, and early-morning pick-ups showed improved individual attendance trends. This indicates that relational and proactive approaches were successful, though further consolidation is needed.</w:t>
            </w:r>
          </w:p>
          <w:p w14:paraId="3456F5E1" w14:textId="6CD19E43" w:rsidR="00A35033" w:rsidRPr="00A35033" w:rsidRDefault="00A35033" w:rsidP="00A35033">
            <w:pPr>
              <w:rPr>
                <w:i/>
                <w:iCs/>
                <w:color w:val="000000"/>
              </w:rPr>
            </w:pPr>
            <w:r w:rsidRPr="00A35033">
              <w:rPr>
                <w:b/>
                <w:bCs/>
                <w:i/>
                <w:iCs/>
                <w:color w:val="000000"/>
              </w:rPr>
              <w:t>Academic outcomes:</w:t>
            </w:r>
            <w:r w:rsidRPr="00A35033">
              <w:rPr>
                <w:i/>
                <w:iCs/>
                <w:color w:val="000000"/>
              </w:rPr>
              <w:br/>
              <w:t>Internal assessment showed that disadvantaged pupils made progress, though gaps remain in reading, writing, and maths. Progress was strongest where pupils accessed structured interventions or consistent pastoral support. Comparison with national outcomes (once published) will further inform next steps.</w:t>
            </w:r>
            <w:r>
              <w:rPr>
                <w:i/>
                <w:iCs/>
                <w:color w:val="000000"/>
              </w:rPr>
              <w:t xml:space="preserve"> Continued uplift of attainment (in reading and maths) aims to provide the equity for each child to progress in line with their peers. </w:t>
            </w:r>
          </w:p>
          <w:p w14:paraId="072392BB" w14:textId="77777777" w:rsidR="00A35033" w:rsidRPr="00A35033" w:rsidRDefault="00A35033" w:rsidP="00A35033">
            <w:pPr>
              <w:rPr>
                <w:i/>
                <w:iCs/>
                <w:color w:val="000000"/>
              </w:rPr>
            </w:pPr>
            <w:r w:rsidRPr="00A35033">
              <w:rPr>
                <w:b/>
                <w:bCs/>
                <w:i/>
                <w:iCs/>
                <w:color w:val="000000"/>
              </w:rPr>
              <w:t>SEMH and wellbeing:</w:t>
            </w:r>
            <w:r w:rsidRPr="00A35033">
              <w:rPr>
                <w:i/>
                <w:iCs/>
                <w:color w:val="000000"/>
              </w:rPr>
              <w:br/>
              <w:t xml:space="preserve">There was a notable increase in SEMH needs across the school. Staff reported improved emotional regulation and engagement in pupils who accessed pastoral support, small-group interventions (such as LEGO therapy), and morning groups. </w:t>
            </w:r>
            <w:r w:rsidRPr="00DB6CEF">
              <w:rPr>
                <w:i/>
                <w:iCs/>
                <w:color w:val="000000"/>
              </w:rPr>
              <w:t>Behaviour logs show a reduction in repeated dysregulation incidents for supported children.</w:t>
            </w:r>
          </w:p>
          <w:p w14:paraId="7AC0C92D" w14:textId="77777777" w:rsidR="00A35033" w:rsidRPr="00A35033" w:rsidRDefault="00A35033" w:rsidP="00A35033">
            <w:pPr>
              <w:rPr>
                <w:i/>
                <w:iCs/>
                <w:color w:val="000000"/>
              </w:rPr>
            </w:pPr>
            <w:r w:rsidRPr="00A35033">
              <w:rPr>
                <w:i/>
                <w:iCs/>
                <w:color w:val="000000"/>
              </w:rPr>
              <w:t>Overall, the school has made progress toward its strategic aims but remains focused on sustaining improvements in attendance and embedding SEMH practice across all classrooms. These outcomes have informed the priorities outlined in the new 2025–2028 strategy.</w:t>
            </w:r>
          </w:p>
          <w:p w14:paraId="5023926C" w14:textId="7DA1FDF3" w:rsidR="0064167B" w:rsidRPr="002F4C6F" w:rsidRDefault="0064167B" w:rsidP="00242093">
            <w:pPr>
              <w:spacing w:before="60"/>
              <w:rPr>
                <w:i/>
                <w:iCs/>
                <w:lang w:eastAsia="en-US"/>
              </w:rPr>
            </w:pPr>
          </w:p>
        </w:tc>
      </w:tr>
    </w:tbl>
    <w:p w14:paraId="578A1E26" w14:textId="77777777" w:rsidR="000329B5" w:rsidRDefault="000329B5" w:rsidP="00A82A98">
      <w:pPr>
        <w:pStyle w:val="Heading2"/>
      </w:pPr>
    </w:p>
    <w:p w14:paraId="2A7D5548" w14:textId="0682808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64C8" w14:textId="77777777" w:rsidR="005844B9" w:rsidRDefault="005844B9">
      <w:pPr>
        <w:spacing w:after="0" w:line="240" w:lineRule="auto"/>
      </w:pPr>
      <w:r>
        <w:separator/>
      </w:r>
    </w:p>
  </w:endnote>
  <w:endnote w:type="continuationSeparator" w:id="0">
    <w:p w14:paraId="1CF1A9E1" w14:textId="77777777" w:rsidR="005844B9" w:rsidRDefault="005844B9">
      <w:pPr>
        <w:spacing w:after="0" w:line="240" w:lineRule="auto"/>
      </w:pPr>
      <w:r>
        <w:continuationSeparator/>
      </w:r>
    </w:p>
  </w:endnote>
  <w:endnote w:type="continuationNotice" w:id="1">
    <w:p w14:paraId="1D6730D7" w14:textId="77777777" w:rsidR="005844B9" w:rsidRDefault="00584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7D89" w14:textId="77777777" w:rsidR="005844B9" w:rsidRDefault="005844B9">
      <w:pPr>
        <w:spacing w:after="0" w:line="240" w:lineRule="auto"/>
      </w:pPr>
      <w:r>
        <w:separator/>
      </w:r>
    </w:p>
  </w:footnote>
  <w:footnote w:type="continuationSeparator" w:id="0">
    <w:p w14:paraId="169C7752" w14:textId="77777777" w:rsidR="005844B9" w:rsidRDefault="005844B9">
      <w:pPr>
        <w:spacing w:after="0" w:line="240" w:lineRule="auto"/>
      </w:pPr>
      <w:r>
        <w:continuationSeparator/>
      </w:r>
    </w:p>
  </w:footnote>
  <w:footnote w:type="continuationNotice" w:id="1">
    <w:p w14:paraId="3913BBDB" w14:textId="77777777" w:rsidR="005844B9" w:rsidRDefault="00584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0C4E"/>
    <w:multiLevelType w:val="multilevel"/>
    <w:tmpl w:val="5CA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F8654B"/>
    <w:multiLevelType w:val="multilevel"/>
    <w:tmpl w:val="852C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95667"/>
    <w:multiLevelType w:val="multilevel"/>
    <w:tmpl w:val="E518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DA2775"/>
    <w:multiLevelType w:val="hybridMultilevel"/>
    <w:tmpl w:val="2898BD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AE22C80"/>
    <w:multiLevelType w:val="multilevel"/>
    <w:tmpl w:val="A6A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8"/>
  </w:num>
  <w:num w:numId="5" w16cid:durableId="857932188">
    <w:abstractNumId w:val="1"/>
  </w:num>
  <w:num w:numId="6" w16cid:durableId="798501009">
    <w:abstractNumId w:val="10"/>
  </w:num>
  <w:num w:numId="7" w16cid:durableId="1210847263">
    <w:abstractNumId w:val="16"/>
  </w:num>
  <w:num w:numId="8" w16cid:durableId="982348153">
    <w:abstractNumId w:val="21"/>
  </w:num>
  <w:num w:numId="9" w16cid:durableId="1529290868">
    <w:abstractNumId w:val="19"/>
  </w:num>
  <w:num w:numId="10" w16cid:durableId="1171066271">
    <w:abstractNumId w:val="18"/>
  </w:num>
  <w:num w:numId="11" w16cid:durableId="1453552857">
    <w:abstractNumId w:val="5"/>
  </w:num>
  <w:num w:numId="12" w16cid:durableId="1812097430">
    <w:abstractNumId w:val="20"/>
  </w:num>
  <w:num w:numId="13" w16cid:durableId="42288650">
    <w:abstractNumId w:val="14"/>
  </w:num>
  <w:num w:numId="14" w16cid:durableId="1721712531">
    <w:abstractNumId w:val="11"/>
  </w:num>
  <w:num w:numId="15" w16cid:durableId="1235432793">
    <w:abstractNumId w:val="3"/>
  </w:num>
  <w:num w:numId="16" w16cid:durableId="884678859">
    <w:abstractNumId w:val="2"/>
  </w:num>
  <w:num w:numId="17" w16cid:durableId="826165421">
    <w:abstractNumId w:val="12"/>
  </w:num>
  <w:num w:numId="18" w16cid:durableId="1683123964">
    <w:abstractNumId w:val="15"/>
  </w:num>
  <w:num w:numId="19" w16cid:durableId="2116367813">
    <w:abstractNumId w:val="17"/>
  </w:num>
  <w:num w:numId="20" w16cid:durableId="936523990">
    <w:abstractNumId w:val="0"/>
  </w:num>
  <w:num w:numId="21" w16cid:durableId="898784428">
    <w:abstractNumId w:val="13"/>
  </w:num>
  <w:num w:numId="22" w16cid:durableId="4788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5637"/>
    <w:rsid w:val="00025D98"/>
    <w:rsid w:val="0002710D"/>
    <w:rsid w:val="00031EA0"/>
    <w:rsid w:val="000329B5"/>
    <w:rsid w:val="00036678"/>
    <w:rsid w:val="000452EB"/>
    <w:rsid w:val="00045603"/>
    <w:rsid w:val="000463AE"/>
    <w:rsid w:val="000507A3"/>
    <w:rsid w:val="00051F6C"/>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2F3C"/>
    <w:rsid w:val="001D4FC9"/>
    <w:rsid w:val="001E0ECA"/>
    <w:rsid w:val="001E206F"/>
    <w:rsid w:val="001E28B4"/>
    <w:rsid w:val="001E5750"/>
    <w:rsid w:val="001E66BA"/>
    <w:rsid w:val="001E7739"/>
    <w:rsid w:val="001F30A0"/>
    <w:rsid w:val="001F3DB4"/>
    <w:rsid w:val="001F7564"/>
    <w:rsid w:val="00203DB9"/>
    <w:rsid w:val="00204F40"/>
    <w:rsid w:val="00205DEF"/>
    <w:rsid w:val="002110CF"/>
    <w:rsid w:val="002112C3"/>
    <w:rsid w:val="002131E5"/>
    <w:rsid w:val="00216C8A"/>
    <w:rsid w:val="00226317"/>
    <w:rsid w:val="00231539"/>
    <w:rsid w:val="00236556"/>
    <w:rsid w:val="00242093"/>
    <w:rsid w:val="00243BAA"/>
    <w:rsid w:val="00243F22"/>
    <w:rsid w:val="002523E3"/>
    <w:rsid w:val="00252AD6"/>
    <w:rsid w:val="002542CE"/>
    <w:rsid w:val="00257A4E"/>
    <w:rsid w:val="00266FA5"/>
    <w:rsid w:val="00276FBA"/>
    <w:rsid w:val="00277665"/>
    <w:rsid w:val="002837AE"/>
    <w:rsid w:val="00287FA8"/>
    <w:rsid w:val="002920F4"/>
    <w:rsid w:val="002940F3"/>
    <w:rsid w:val="00295842"/>
    <w:rsid w:val="002A4FA8"/>
    <w:rsid w:val="002B3574"/>
    <w:rsid w:val="002B6B74"/>
    <w:rsid w:val="002C6AE7"/>
    <w:rsid w:val="002D2D4B"/>
    <w:rsid w:val="002D2D89"/>
    <w:rsid w:val="002D3805"/>
    <w:rsid w:val="002D5499"/>
    <w:rsid w:val="002E66AE"/>
    <w:rsid w:val="002E7763"/>
    <w:rsid w:val="002F4C6F"/>
    <w:rsid w:val="002F5011"/>
    <w:rsid w:val="002F5842"/>
    <w:rsid w:val="002F7847"/>
    <w:rsid w:val="00306CB7"/>
    <w:rsid w:val="00307ABF"/>
    <w:rsid w:val="003111F5"/>
    <w:rsid w:val="0031369A"/>
    <w:rsid w:val="00317664"/>
    <w:rsid w:val="00330627"/>
    <w:rsid w:val="00336200"/>
    <w:rsid w:val="00337418"/>
    <w:rsid w:val="00351D83"/>
    <w:rsid w:val="00352197"/>
    <w:rsid w:val="00353E46"/>
    <w:rsid w:val="003576C4"/>
    <w:rsid w:val="0036277A"/>
    <w:rsid w:val="00366AB0"/>
    <w:rsid w:val="003675E1"/>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37187"/>
    <w:rsid w:val="00443227"/>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039"/>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3B47"/>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44B9"/>
    <w:rsid w:val="00585859"/>
    <w:rsid w:val="00586FBC"/>
    <w:rsid w:val="005879C9"/>
    <w:rsid w:val="00594CAD"/>
    <w:rsid w:val="005A1D0B"/>
    <w:rsid w:val="005A3C6B"/>
    <w:rsid w:val="005B1EA5"/>
    <w:rsid w:val="005C0BBD"/>
    <w:rsid w:val="005C54A0"/>
    <w:rsid w:val="005D0D15"/>
    <w:rsid w:val="005D7176"/>
    <w:rsid w:val="005E0E8F"/>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7020"/>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1B0A"/>
    <w:rsid w:val="007A63CA"/>
    <w:rsid w:val="007A713B"/>
    <w:rsid w:val="007A7DA0"/>
    <w:rsid w:val="007B64E5"/>
    <w:rsid w:val="007C2F04"/>
    <w:rsid w:val="007F06E5"/>
    <w:rsid w:val="007F5B8B"/>
    <w:rsid w:val="00805BC0"/>
    <w:rsid w:val="00814FB9"/>
    <w:rsid w:val="00817E9A"/>
    <w:rsid w:val="00817ECA"/>
    <w:rsid w:val="00827786"/>
    <w:rsid w:val="00827BDA"/>
    <w:rsid w:val="00830D57"/>
    <w:rsid w:val="00831F00"/>
    <w:rsid w:val="008436CA"/>
    <w:rsid w:val="0084456B"/>
    <w:rsid w:val="00850CA0"/>
    <w:rsid w:val="00852A2F"/>
    <w:rsid w:val="008557D1"/>
    <w:rsid w:val="008608EE"/>
    <w:rsid w:val="00860B07"/>
    <w:rsid w:val="008616F6"/>
    <w:rsid w:val="0086259C"/>
    <w:rsid w:val="008674ED"/>
    <w:rsid w:val="0087074C"/>
    <w:rsid w:val="00874913"/>
    <w:rsid w:val="00883F24"/>
    <w:rsid w:val="008954A1"/>
    <w:rsid w:val="00897E1F"/>
    <w:rsid w:val="008A3E8E"/>
    <w:rsid w:val="008B1326"/>
    <w:rsid w:val="008B2CB4"/>
    <w:rsid w:val="008B3D82"/>
    <w:rsid w:val="008B5503"/>
    <w:rsid w:val="008B6404"/>
    <w:rsid w:val="008C2C21"/>
    <w:rsid w:val="008C7DD3"/>
    <w:rsid w:val="008D054C"/>
    <w:rsid w:val="008D6CC7"/>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0DA4"/>
    <w:rsid w:val="009B38F2"/>
    <w:rsid w:val="009B7433"/>
    <w:rsid w:val="009C0914"/>
    <w:rsid w:val="009C27E5"/>
    <w:rsid w:val="009C4D88"/>
    <w:rsid w:val="009D1AAD"/>
    <w:rsid w:val="009D24A1"/>
    <w:rsid w:val="009D3891"/>
    <w:rsid w:val="009D71E8"/>
    <w:rsid w:val="009E0CF5"/>
    <w:rsid w:val="009E104B"/>
    <w:rsid w:val="009E7DE4"/>
    <w:rsid w:val="009F3BBD"/>
    <w:rsid w:val="00A022AB"/>
    <w:rsid w:val="00A063DD"/>
    <w:rsid w:val="00A112B5"/>
    <w:rsid w:val="00A14EEA"/>
    <w:rsid w:val="00A33636"/>
    <w:rsid w:val="00A35033"/>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6537F"/>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B73AF"/>
    <w:rsid w:val="00CC4443"/>
    <w:rsid w:val="00CC5CAF"/>
    <w:rsid w:val="00CE7E1B"/>
    <w:rsid w:val="00D04F25"/>
    <w:rsid w:val="00D056FD"/>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0217"/>
    <w:rsid w:val="00D81325"/>
    <w:rsid w:val="00D875ED"/>
    <w:rsid w:val="00D877D0"/>
    <w:rsid w:val="00D90013"/>
    <w:rsid w:val="00D91B9C"/>
    <w:rsid w:val="00D92C1B"/>
    <w:rsid w:val="00D94CC7"/>
    <w:rsid w:val="00D97901"/>
    <w:rsid w:val="00DA1AF4"/>
    <w:rsid w:val="00DB0C60"/>
    <w:rsid w:val="00DB6CEF"/>
    <w:rsid w:val="00DC641A"/>
    <w:rsid w:val="00DD21A1"/>
    <w:rsid w:val="00DD68FB"/>
    <w:rsid w:val="00DD6B7D"/>
    <w:rsid w:val="00DD6E14"/>
    <w:rsid w:val="00DE15AC"/>
    <w:rsid w:val="00DF2015"/>
    <w:rsid w:val="00E03061"/>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92D4D"/>
    <w:rsid w:val="00EA3A2A"/>
    <w:rsid w:val="00EA6B46"/>
    <w:rsid w:val="00EB034F"/>
    <w:rsid w:val="00EB4556"/>
    <w:rsid w:val="00EB4A11"/>
    <w:rsid w:val="00EB64C8"/>
    <w:rsid w:val="00ED4136"/>
    <w:rsid w:val="00ED5108"/>
    <w:rsid w:val="00ED6AE8"/>
    <w:rsid w:val="00EE291B"/>
    <w:rsid w:val="00EE2CB2"/>
    <w:rsid w:val="00EF3124"/>
    <w:rsid w:val="00EF485B"/>
    <w:rsid w:val="00EF5A6B"/>
    <w:rsid w:val="00F012CA"/>
    <w:rsid w:val="00F01752"/>
    <w:rsid w:val="00F017D2"/>
    <w:rsid w:val="00F0355A"/>
    <w:rsid w:val="00F05C44"/>
    <w:rsid w:val="00F13580"/>
    <w:rsid w:val="00F15753"/>
    <w:rsid w:val="00F21F92"/>
    <w:rsid w:val="00F24A7E"/>
    <w:rsid w:val="00F32ABA"/>
    <w:rsid w:val="00F33DC0"/>
    <w:rsid w:val="00F33F28"/>
    <w:rsid w:val="00F35A40"/>
    <w:rsid w:val="00F35FDE"/>
    <w:rsid w:val="00F40DE1"/>
    <w:rsid w:val="00F4142A"/>
    <w:rsid w:val="00F423A0"/>
    <w:rsid w:val="00F54FCB"/>
    <w:rsid w:val="00F62587"/>
    <w:rsid w:val="00F631A6"/>
    <w:rsid w:val="00F63E9E"/>
    <w:rsid w:val="00F63FEA"/>
    <w:rsid w:val="00F66AA7"/>
    <w:rsid w:val="00F75603"/>
    <w:rsid w:val="00F76843"/>
    <w:rsid w:val="00F776E1"/>
    <w:rsid w:val="00F77E8D"/>
    <w:rsid w:val="00F925EB"/>
    <w:rsid w:val="00F97033"/>
    <w:rsid w:val="00FA0B22"/>
    <w:rsid w:val="00FA6DD0"/>
    <w:rsid w:val="00FC28DF"/>
    <w:rsid w:val="00FD1780"/>
    <w:rsid w:val="00FD2297"/>
    <w:rsid w:val="00FD406D"/>
    <w:rsid w:val="00FD6AC6"/>
    <w:rsid w:val="00FE0C8B"/>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2119">
      <w:bodyDiv w:val="1"/>
      <w:marLeft w:val="0"/>
      <w:marRight w:val="0"/>
      <w:marTop w:val="0"/>
      <w:marBottom w:val="0"/>
      <w:divBdr>
        <w:top w:val="none" w:sz="0" w:space="0" w:color="auto"/>
        <w:left w:val="none" w:sz="0" w:space="0" w:color="auto"/>
        <w:bottom w:val="none" w:sz="0" w:space="0" w:color="auto"/>
        <w:right w:val="none" w:sz="0" w:space="0" w:color="auto"/>
      </w:divBdr>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27573339">
      <w:bodyDiv w:val="1"/>
      <w:marLeft w:val="0"/>
      <w:marRight w:val="0"/>
      <w:marTop w:val="0"/>
      <w:marBottom w:val="0"/>
      <w:divBdr>
        <w:top w:val="none" w:sz="0" w:space="0" w:color="auto"/>
        <w:left w:val="none" w:sz="0" w:space="0" w:color="auto"/>
        <w:bottom w:val="none" w:sz="0" w:space="0" w:color="auto"/>
        <w:right w:val="none" w:sz="0" w:space="0" w:color="auto"/>
      </w:divBdr>
      <w:divsChild>
        <w:div w:id="1332031153">
          <w:marLeft w:val="0"/>
          <w:marRight w:val="0"/>
          <w:marTop w:val="240"/>
          <w:marBottom w:val="240"/>
          <w:divBdr>
            <w:top w:val="none" w:sz="0" w:space="0" w:color="auto"/>
            <w:left w:val="none" w:sz="0" w:space="0" w:color="auto"/>
            <w:bottom w:val="none" w:sz="0" w:space="0" w:color="auto"/>
            <w:right w:val="none" w:sz="0" w:space="0" w:color="auto"/>
          </w:divBdr>
        </w:div>
        <w:div w:id="1243682376">
          <w:marLeft w:val="0"/>
          <w:marRight w:val="0"/>
          <w:marTop w:val="240"/>
          <w:marBottom w:val="240"/>
          <w:divBdr>
            <w:top w:val="none" w:sz="0" w:space="0" w:color="auto"/>
            <w:left w:val="none" w:sz="0" w:space="0" w:color="auto"/>
            <w:bottom w:val="none" w:sz="0" w:space="0" w:color="auto"/>
            <w:right w:val="none" w:sz="0" w:space="0" w:color="auto"/>
          </w:divBdr>
        </w:div>
        <w:div w:id="1562331415">
          <w:marLeft w:val="0"/>
          <w:marRight w:val="0"/>
          <w:marTop w:val="240"/>
          <w:marBottom w:val="240"/>
          <w:divBdr>
            <w:top w:val="none" w:sz="0" w:space="0" w:color="auto"/>
            <w:left w:val="none" w:sz="0" w:space="0" w:color="auto"/>
            <w:bottom w:val="none" w:sz="0" w:space="0" w:color="auto"/>
            <w:right w:val="none" w:sz="0" w:space="0" w:color="auto"/>
          </w:divBdr>
        </w:div>
        <w:div w:id="369383644">
          <w:marLeft w:val="0"/>
          <w:marRight w:val="0"/>
          <w:marTop w:val="240"/>
          <w:marBottom w:val="240"/>
          <w:divBdr>
            <w:top w:val="none" w:sz="0" w:space="0" w:color="auto"/>
            <w:left w:val="none" w:sz="0" w:space="0" w:color="auto"/>
            <w:bottom w:val="none" w:sz="0" w:space="0" w:color="auto"/>
            <w:right w:val="none" w:sz="0" w:space="0" w:color="auto"/>
          </w:divBdr>
        </w:div>
      </w:divsChild>
    </w:div>
    <w:div w:id="338776698">
      <w:bodyDiv w:val="1"/>
      <w:marLeft w:val="0"/>
      <w:marRight w:val="0"/>
      <w:marTop w:val="0"/>
      <w:marBottom w:val="0"/>
      <w:divBdr>
        <w:top w:val="none" w:sz="0" w:space="0" w:color="auto"/>
        <w:left w:val="none" w:sz="0" w:space="0" w:color="auto"/>
        <w:bottom w:val="none" w:sz="0" w:space="0" w:color="auto"/>
        <w:right w:val="none" w:sz="0" w:space="0" w:color="auto"/>
      </w:divBdr>
      <w:divsChild>
        <w:div w:id="2018536049">
          <w:marLeft w:val="0"/>
          <w:marRight w:val="0"/>
          <w:marTop w:val="240"/>
          <w:marBottom w:val="240"/>
          <w:divBdr>
            <w:top w:val="none" w:sz="0" w:space="0" w:color="auto"/>
            <w:left w:val="none" w:sz="0" w:space="0" w:color="auto"/>
            <w:bottom w:val="none" w:sz="0" w:space="0" w:color="auto"/>
            <w:right w:val="none" w:sz="0" w:space="0" w:color="auto"/>
          </w:divBdr>
        </w:div>
        <w:div w:id="174616500">
          <w:marLeft w:val="0"/>
          <w:marRight w:val="0"/>
          <w:marTop w:val="240"/>
          <w:marBottom w:val="240"/>
          <w:divBdr>
            <w:top w:val="none" w:sz="0" w:space="0" w:color="auto"/>
            <w:left w:val="none" w:sz="0" w:space="0" w:color="auto"/>
            <w:bottom w:val="none" w:sz="0" w:space="0" w:color="auto"/>
            <w:right w:val="none" w:sz="0" w:space="0" w:color="auto"/>
          </w:divBdr>
        </w:div>
        <w:div w:id="1668436258">
          <w:marLeft w:val="0"/>
          <w:marRight w:val="0"/>
          <w:marTop w:val="240"/>
          <w:marBottom w:val="240"/>
          <w:divBdr>
            <w:top w:val="none" w:sz="0" w:space="0" w:color="auto"/>
            <w:left w:val="none" w:sz="0" w:space="0" w:color="auto"/>
            <w:bottom w:val="none" w:sz="0" w:space="0" w:color="auto"/>
            <w:right w:val="none" w:sz="0" w:space="0" w:color="auto"/>
          </w:divBdr>
        </w:div>
      </w:divsChild>
    </w:div>
    <w:div w:id="406659143">
      <w:bodyDiv w:val="1"/>
      <w:marLeft w:val="0"/>
      <w:marRight w:val="0"/>
      <w:marTop w:val="0"/>
      <w:marBottom w:val="0"/>
      <w:divBdr>
        <w:top w:val="none" w:sz="0" w:space="0" w:color="auto"/>
        <w:left w:val="none" w:sz="0" w:space="0" w:color="auto"/>
        <w:bottom w:val="none" w:sz="0" w:space="0" w:color="auto"/>
        <w:right w:val="none" w:sz="0" w:space="0" w:color="auto"/>
      </w:divBdr>
      <w:divsChild>
        <w:div w:id="239172476">
          <w:marLeft w:val="0"/>
          <w:marRight w:val="0"/>
          <w:marTop w:val="240"/>
          <w:marBottom w:val="240"/>
          <w:divBdr>
            <w:top w:val="none" w:sz="0" w:space="0" w:color="auto"/>
            <w:left w:val="none" w:sz="0" w:space="0" w:color="auto"/>
            <w:bottom w:val="none" w:sz="0" w:space="0" w:color="auto"/>
            <w:right w:val="none" w:sz="0" w:space="0" w:color="auto"/>
          </w:divBdr>
        </w:div>
        <w:div w:id="2074505323">
          <w:marLeft w:val="0"/>
          <w:marRight w:val="0"/>
          <w:marTop w:val="240"/>
          <w:marBottom w:val="240"/>
          <w:divBdr>
            <w:top w:val="none" w:sz="0" w:space="0" w:color="auto"/>
            <w:left w:val="none" w:sz="0" w:space="0" w:color="auto"/>
            <w:bottom w:val="none" w:sz="0" w:space="0" w:color="auto"/>
            <w:right w:val="none" w:sz="0" w:space="0" w:color="auto"/>
          </w:divBdr>
        </w:div>
        <w:div w:id="1431046612">
          <w:marLeft w:val="0"/>
          <w:marRight w:val="0"/>
          <w:marTop w:val="240"/>
          <w:marBottom w:val="240"/>
          <w:divBdr>
            <w:top w:val="none" w:sz="0" w:space="0" w:color="auto"/>
            <w:left w:val="none" w:sz="0" w:space="0" w:color="auto"/>
            <w:bottom w:val="none" w:sz="0" w:space="0" w:color="auto"/>
            <w:right w:val="none" w:sz="0" w:space="0" w:color="auto"/>
          </w:divBdr>
        </w:div>
      </w:divsChild>
    </w:div>
    <w:div w:id="428157704">
      <w:bodyDiv w:val="1"/>
      <w:marLeft w:val="0"/>
      <w:marRight w:val="0"/>
      <w:marTop w:val="0"/>
      <w:marBottom w:val="0"/>
      <w:divBdr>
        <w:top w:val="none" w:sz="0" w:space="0" w:color="auto"/>
        <w:left w:val="none" w:sz="0" w:space="0" w:color="auto"/>
        <w:bottom w:val="none" w:sz="0" w:space="0" w:color="auto"/>
        <w:right w:val="none" w:sz="0" w:space="0" w:color="auto"/>
      </w:divBdr>
    </w:div>
    <w:div w:id="524291442">
      <w:bodyDiv w:val="1"/>
      <w:marLeft w:val="0"/>
      <w:marRight w:val="0"/>
      <w:marTop w:val="0"/>
      <w:marBottom w:val="0"/>
      <w:divBdr>
        <w:top w:val="none" w:sz="0" w:space="0" w:color="auto"/>
        <w:left w:val="none" w:sz="0" w:space="0" w:color="auto"/>
        <w:bottom w:val="none" w:sz="0" w:space="0" w:color="auto"/>
        <w:right w:val="none" w:sz="0" w:space="0" w:color="auto"/>
      </w:divBdr>
    </w:div>
    <w:div w:id="538015342">
      <w:bodyDiv w:val="1"/>
      <w:marLeft w:val="0"/>
      <w:marRight w:val="0"/>
      <w:marTop w:val="0"/>
      <w:marBottom w:val="0"/>
      <w:divBdr>
        <w:top w:val="none" w:sz="0" w:space="0" w:color="auto"/>
        <w:left w:val="none" w:sz="0" w:space="0" w:color="auto"/>
        <w:bottom w:val="none" w:sz="0" w:space="0" w:color="auto"/>
        <w:right w:val="none" w:sz="0" w:space="0" w:color="auto"/>
      </w:divBdr>
      <w:divsChild>
        <w:div w:id="869950320">
          <w:marLeft w:val="0"/>
          <w:marRight w:val="0"/>
          <w:marTop w:val="240"/>
          <w:marBottom w:val="240"/>
          <w:divBdr>
            <w:top w:val="none" w:sz="0" w:space="0" w:color="auto"/>
            <w:left w:val="none" w:sz="0" w:space="0" w:color="auto"/>
            <w:bottom w:val="none" w:sz="0" w:space="0" w:color="auto"/>
            <w:right w:val="none" w:sz="0" w:space="0" w:color="auto"/>
          </w:divBdr>
        </w:div>
        <w:div w:id="2004576461">
          <w:marLeft w:val="0"/>
          <w:marRight w:val="0"/>
          <w:marTop w:val="240"/>
          <w:marBottom w:val="240"/>
          <w:divBdr>
            <w:top w:val="none" w:sz="0" w:space="0" w:color="auto"/>
            <w:left w:val="none" w:sz="0" w:space="0" w:color="auto"/>
            <w:bottom w:val="none" w:sz="0" w:space="0" w:color="auto"/>
            <w:right w:val="none" w:sz="0" w:space="0" w:color="auto"/>
          </w:divBdr>
        </w:div>
        <w:div w:id="246815200">
          <w:marLeft w:val="0"/>
          <w:marRight w:val="0"/>
          <w:marTop w:val="240"/>
          <w:marBottom w:val="240"/>
          <w:divBdr>
            <w:top w:val="none" w:sz="0" w:space="0" w:color="auto"/>
            <w:left w:val="none" w:sz="0" w:space="0" w:color="auto"/>
            <w:bottom w:val="none" w:sz="0" w:space="0" w:color="auto"/>
            <w:right w:val="none" w:sz="0" w:space="0" w:color="auto"/>
          </w:divBdr>
        </w:div>
        <w:div w:id="1155493785">
          <w:marLeft w:val="0"/>
          <w:marRight w:val="0"/>
          <w:marTop w:val="240"/>
          <w:marBottom w:val="240"/>
          <w:divBdr>
            <w:top w:val="none" w:sz="0" w:space="0" w:color="auto"/>
            <w:left w:val="none" w:sz="0" w:space="0" w:color="auto"/>
            <w:bottom w:val="none" w:sz="0" w:space="0" w:color="auto"/>
            <w:right w:val="none" w:sz="0" w:space="0" w:color="auto"/>
          </w:divBdr>
        </w:div>
        <w:div w:id="1719167072">
          <w:marLeft w:val="0"/>
          <w:marRight w:val="0"/>
          <w:marTop w:val="240"/>
          <w:marBottom w:val="240"/>
          <w:divBdr>
            <w:top w:val="none" w:sz="0" w:space="0" w:color="auto"/>
            <w:left w:val="none" w:sz="0" w:space="0" w:color="auto"/>
            <w:bottom w:val="none" w:sz="0" w:space="0" w:color="auto"/>
            <w:right w:val="none" w:sz="0" w:space="0" w:color="auto"/>
          </w:divBdr>
        </w:div>
        <w:div w:id="1675183670">
          <w:marLeft w:val="0"/>
          <w:marRight w:val="0"/>
          <w:marTop w:val="240"/>
          <w:marBottom w:val="240"/>
          <w:divBdr>
            <w:top w:val="none" w:sz="0" w:space="0" w:color="auto"/>
            <w:left w:val="none" w:sz="0" w:space="0" w:color="auto"/>
            <w:bottom w:val="none" w:sz="0" w:space="0" w:color="auto"/>
            <w:right w:val="none" w:sz="0" w:space="0" w:color="auto"/>
          </w:divBdr>
        </w:div>
      </w:divsChild>
    </w:div>
    <w:div w:id="542592920">
      <w:bodyDiv w:val="1"/>
      <w:marLeft w:val="0"/>
      <w:marRight w:val="0"/>
      <w:marTop w:val="0"/>
      <w:marBottom w:val="0"/>
      <w:divBdr>
        <w:top w:val="none" w:sz="0" w:space="0" w:color="auto"/>
        <w:left w:val="none" w:sz="0" w:space="0" w:color="auto"/>
        <w:bottom w:val="none" w:sz="0" w:space="0" w:color="auto"/>
        <w:right w:val="none" w:sz="0" w:space="0" w:color="auto"/>
      </w:divBdr>
    </w:div>
    <w:div w:id="550579201">
      <w:bodyDiv w:val="1"/>
      <w:marLeft w:val="0"/>
      <w:marRight w:val="0"/>
      <w:marTop w:val="0"/>
      <w:marBottom w:val="0"/>
      <w:divBdr>
        <w:top w:val="none" w:sz="0" w:space="0" w:color="auto"/>
        <w:left w:val="none" w:sz="0" w:space="0" w:color="auto"/>
        <w:bottom w:val="none" w:sz="0" w:space="0" w:color="auto"/>
        <w:right w:val="none" w:sz="0" w:space="0" w:color="auto"/>
      </w:divBdr>
    </w:div>
    <w:div w:id="568728776">
      <w:bodyDiv w:val="1"/>
      <w:marLeft w:val="0"/>
      <w:marRight w:val="0"/>
      <w:marTop w:val="0"/>
      <w:marBottom w:val="0"/>
      <w:divBdr>
        <w:top w:val="none" w:sz="0" w:space="0" w:color="auto"/>
        <w:left w:val="none" w:sz="0" w:space="0" w:color="auto"/>
        <w:bottom w:val="none" w:sz="0" w:space="0" w:color="auto"/>
        <w:right w:val="none" w:sz="0" w:space="0" w:color="auto"/>
      </w:divBdr>
    </w:div>
    <w:div w:id="577255418">
      <w:bodyDiv w:val="1"/>
      <w:marLeft w:val="0"/>
      <w:marRight w:val="0"/>
      <w:marTop w:val="0"/>
      <w:marBottom w:val="0"/>
      <w:divBdr>
        <w:top w:val="none" w:sz="0" w:space="0" w:color="auto"/>
        <w:left w:val="none" w:sz="0" w:space="0" w:color="auto"/>
        <w:bottom w:val="none" w:sz="0" w:space="0" w:color="auto"/>
        <w:right w:val="none" w:sz="0" w:space="0" w:color="auto"/>
      </w:divBdr>
    </w:div>
    <w:div w:id="623116651">
      <w:bodyDiv w:val="1"/>
      <w:marLeft w:val="0"/>
      <w:marRight w:val="0"/>
      <w:marTop w:val="0"/>
      <w:marBottom w:val="0"/>
      <w:divBdr>
        <w:top w:val="none" w:sz="0" w:space="0" w:color="auto"/>
        <w:left w:val="none" w:sz="0" w:space="0" w:color="auto"/>
        <w:bottom w:val="none" w:sz="0" w:space="0" w:color="auto"/>
        <w:right w:val="none" w:sz="0" w:space="0" w:color="auto"/>
      </w:divBdr>
    </w:div>
    <w:div w:id="637612026">
      <w:bodyDiv w:val="1"/>
      <w:marLeft w:val="0"/>
      <w:marRight w:val="0"/>
      <w:marTop w:val="0"/>
      <w:marBottom w:val="0"/>
      <w:divBdr>
        <w:top w:val="none" w:sz="0" w:space="0" w:color="auto"/>
        <w:left w:val="none" w:sz="0" w:space="0" w:color="auto"/>
        <w:bottom w:val="none" w:sz="0" w:space="0" w:color="auto"/>
        <w:right w:val="none" w:sz="0" w:space="0" w:color="auto"/>
      </w:divBdr>
    </w:div>
    <w:div w:id="655916525">
      <w:bodyDiv w:val="1"/>
      <w:marLeft w:val="0"/>
      <w:marRight w:val="0"/>
      <w:marTop w:val="0"/>
      <w:marBottom w:val="0"/>
      <w:divBdr>
        <w:top w:val="none" w:sz="0" w:space="0" w:color="auto"/>
        <w:left w:val="none" w:sz="0" w:space="0" w:color="auto"/>
        <w:bottom w:val="none" w:sz="0" w:space="0" w:color="auto"/>
        <w:right w:val="none" w:sz="0" w:space="0" w:color="auto"/>
      </w:divBdr>
    </w:div>
    <w:div w:id="754595092">
      <w:bodyDiv w:val="1"/>
      <w:marLeft w:val="0"/>
      <w:marRight w:val="0"/>
      <w:marTop w:val="0"/>
      <w:marBottom w:val="0"/>
      <w:divBdr>
        <w:top w:val="none" w:sz="0" w:space="0" w:color="auto"/>
        <w:left w:val="none" w:sz="0" w:space="0" w:color="auto"/>
        <w:bottom w:val="none" w:sz="0" w:space="0" w:color="auto"/>
        <w:right w:val="none" w:sz="0" w:space="0" w:color="auto"/>
      </w:divBdr>
    </w:div>
    <w:div w:id="758719904">
      <w:bodyDiv w:val="1"/>
      <w:marLeft w:val="0"/>
      <w:marRight w:val="0"/>
      <w:marTop w:val="0"/>
      <w:marBottom w:val="0"/>
      <w:divBdr>
        <w:top w:val="none" w:sz="0" w:space="0" w:color="auto"/>
        <w:left w:val="none" w:sz="0" w:space="0" w:color="auto"/>
        <w:bottom w:val="none" w:sz="0" w:space="0" w:color="auto"/>
        <w:right w:val="none" w:sz="0" w:space="0" w:color="auto"/>
      </w:divBdr>
    </w:div>
    <w:div w:id="787700487">
      <w:bodyDiv w:val="1"/>
      <w:marLeft w:val="0"/>
      <w:marRight w:val="0"/>
      <w:marTop w:val="0"/>
      <w:marBottom w:val="0"/>
      <w:divBdr>
        <w:top w:val="none" w:sz="0" w:space="0" w:color="auto"/>
        <w:left w:val="none" w:sz="0" w:space="0" w:color="auto"/>
        <w:bottom w:val="none" w:sz="0" w:space="0" w:color="auto"/>
        <w:right w:val="none" w:sz="0" w:space="0" w:color="auto"/>
      </w:divBdr>
      <w:divsChild>
        <w:div w:id="255752044">
          <w:marLeft w:val="0"/>
          <w:marRight w:val="0"/>
          <w:marTop w:val="240"/>
          <w:marBottom w:val="240"/>
          <w:divBdr>
            <w:top w:val="none" w:sz="0" w:space="0" w:color="auto"/>
            <w:left w:val="none" w:sz="0" w:space="0" w:color="auto"/>
            <w:bottom w:val="none" w:sz="0" w:space="0" w:color="auto"/>
            <w:right w:val="none" w:sz="0" w:space="0" w:color="auto"/>
          </w:divBdr>
        </w:div>
        <w:div w:id="167524937">
          <w:marLeft w:val="0"/>
          <w:marRight w:val="0"/>
          <w:marTop w:val="240"/>
          <w:marBottom w:val="240"/>
          <w:divBdr>
            <w:top w:val="none" w:sz="0" w:space="0" w:color="auto"/>
            <w:left w:val="none" w:sz="0" w:space="0" w:color="auto"/>
            <w:bottom w:val="none" w:sz="0" w:space="0" w:color="auto"/>
            <w:right w:val="none" w:sz="0" w:space="0" w:color="auto"/>
          </w:divBdr>
        </w:div>
        <w:div w:id="315958321">
          <w:marLeft w:val="0"/>
          <w:marRight w:val="0"/>
          <w:marTop w:val="240"/>
          <w:marBottom w:val="240"/>
          <w:divBdr>
            <w:top w:val="none" w:sz="0" w:space="0" w:color="auto"/>
            <w:left w:val="none" w:sz="0" w:space="0" w:color="auto"/>
            <w:bottom w:val="none" w:sz="0" w:space="0" w:color="auto"/>
            <w:right w:val="none" w:sz="0" w:space="0" w:color="auto"/>
          </w:divBdr>
        </w:div>
        <w:div w:id="185676838">
          <w:marLeft w:val="0"/>
          <w:marRight w:val="0"/>
          <w:marTop w:val="240"/>
          <w:marBottom w:val="240"/>
          <w:divBdr>
            <w:top w:val="none" w:sz="0" w:space="0" w:color="auto"/>
            <w:left w:val="none" w:sz="0" w:space="0" w:color="auto"/>
            <w:bottom w:val="none" w:sz="0" w:space="0" w:color="auto"/>
            <w:right w:val="none" w:sz="0" w:space="0" w:color="auto"/>
          </w:divBdr>
        </w:div>
        <w:div w:id="827745278">
          <w:marLeft w:val="0"/>
          <w:marRight w:val="0"/>
          <w:marTop w:val="240"/>
          <w:marBottom w:val="240"/>
          <w:divBdr>
            <w:top w:val="none" w:sz="0" w:space="0" w:color="auto"/>
            <w:left w:val="none" w:sz="0" w:space="0" w:color="auto"/>
            <w:bottom w:val="none" w:sz="0" w:space="0" w:color="auto"/>
            <w:right w:val="none" w:sz="0" w:space="0" w:color="auto"/>
          </w:divBdr>
        </w:div>
      </w:divsChild>
    </w:div>
    <w:div w:id="845829664">
      <w:bodyDiv w:val="1"/>
      <w:marLeft w:val="0"/>
      <w:marRight w:val="0"/>
      <w:marTop w:val="0"/>
      <w:marBottom w:val="0"/>
      <w:divBdr>
        <w:top w:val="none" w:sz="0" w:space="0" w:color="auto"/>
        <w:left w:val="none" w:sz="0" w:space="0" w:color="auto"/>
        <w:bottom w:val="none" w:sz="0" w:space="0" w:color="auto"/>
        <w:right w:val="none" w:sz="0" w:space="0" w:color="auto"/>
      </w:divBdr>
    </w:div>
    <w:div w:id="930427149">
      <w:bodyDiv w:val="1"/>
      <w:marLeft w:val="0"/>
      <w:marRight w:val="0"/>
      <w:marTop w:val="0"/>
      <w:marBottom w:val="0"/>
      <w:divBdr>
        <w:top w:val="none" w:sz="0" w:space="0" w:color="auto"/>
        <w:left w:val="none" w:sz="0" w:space="0" w:color="auto"/>
        <w:bottom w:val="none" w:sz="0" w:space="0" w:color="auto"/>
        <w:right w:val="none" w:sz="0" w:space="0" w:color="auto"/>
      </w:divBdr>
    </w:div>
    <w:div w:id="963926439">
      <w:bodyDiv w:val="1"/>
      <w:marLeft w:val="0"/>
      <w:marRight w:val="0"/>
      <w:marTop w:val="0"/>
      <w:marBottom w:val="0"/>
      <w:divBdr>
        <w:top w:val="none" w:sz="0" w:space="0" w:color="auto"/>
        <w:left w:val="none" w:sz="0" w:space="0" w:color="auto"/>
        <w:bottom w:val="none" w:sz="0" w:space="0" w:color="auto"/>
        <w:right w:val="none" w:sz="0" w:space="0" w:color="auto"/>
      </w:divBdr>
      <w:divsChild>
        <w:div w:id="242181363">
          <w:marLeft w:val="0"/>
          <w:marRight w:val="0"/>
          <w:marTop w:val="240"/>
          <w:marBottom w:val="240"/>
          <w:divBdr>
            <w:top w:val="none" w:sz="0" w:space="0" w:color="auto"/>
            <w:left w:val="none" w:sz="0" w:space="0" w:color="auto"/>
            <w:bottom w:val="none" w:sz="0" w:space="0" w:color="auto"/>
            <w:right w:val="none" w:sz="0" w:space="0" w:color="auto"/>
          </w:divBdr>
        </w:div>
        <w:div w:id="1679771911">
          <w:marLeft w:val="0"/>
          <w:marRight w:val="0"/>
          <w:marTop w:val="240"/>
          <w:marBottom w:val="240"/>
          <w:divBdr>
            <w:top w:val="none" w:sz="0" w:space="0" w:color="auto"/>
            <w:left w:val="none" w:sz="0" w:space="0" w:color="auto"/>
            <w:bottom w:val="none" w:sz="0" w:space="0" w:color="auto"/>
            <w:right w:val="none" w:sz="0" w:space="0" w:color="auto"/>
          </w:divBdr>
        </w:div>
        <w:div w:id="1031996450">
          <w:marLeft w:val="0"/>
          <w:marRight w:val="0"/>
          <w:marTop w:val="240"/>
          <w:marBottom w:val="240"/>
          <w:divBdr>
            <w:top w:val="none" w:sz="0" w:space="0" w:color="auto"/>
            <w:left w:val="none" w:sz="0" w:space="0" w:color="auto"/>
            <w:bottom w:val="none" w:sz="0" w:space="0" w:color="auto"/>
            <w:right w:val="none" w:sz="0" w:space="0" w:color="auto"/>
          </w:divBdr>
        </w:div>
        <w:div w:id="551814156">
          <w:marLeft w:val="0"/>
          <w:marRight w:val="0"/>
          <w:marTop w:val="240"/>
          <w:marBottom w:val="240"/>
          <w:divBdr>
            <w:top w:val="none" w:sz="0" w:space="0" w:color="auto"/>
            <w:left w:val="none" w:sz="0" w:space="0" w:color="auto"/>
            <w:bottom w:val="none" w:sz="0" w:space="0" w:color="auto"/>
            <w:right w:val="none" w:sz="0" w:space="0" w:color="auto"/>
          </w:divBdr>
        </w:div>
      </w:divsChild>
    </w:div>
    <w:div w:id="1036389850">
      <w:bodyDiv w:val="1"/>
      <w:marLeft w:val="0"/>
      <w:marRight w:val="0"/>
      <w:marTop w:val="0"/>
      <w:marBottom w:val="0"/>
      <w:divBdr>
        <w:top w:val="none" w:sz="0" w:space="0" w:color="auto"/>
        <w:left w:val="none" w:sz="0" w:space="0" w:color="auto"/>
        <w:bottom w:val="none" w:sz="0" w:space="0" w:color="auto"/>
        <w:right w:val="none" w:sz="0" w:space="0" w:color="auto"/>
      </w:divBdr>
      <w:divsChild>
        <w:div w:id="624891602">
          <w:marLeft w:val="0"/>
          <w:marRight w:val="0"/>
          <w:marTop w:val="240"/>
          <w:marBottom w:val="240"/>
          <w:divBdr>
            <w:top w:val="none" w:sz="0" w:space="0" w:color="auto"/>
            <w:left w:val="none" w:sz="0" w:space="0" w:color="auto"/>
            <w:bottom w:val="none" w:sz="0" w:space="0" w:color="auto"/>
            <w:right w:val="none" w:sz="0" w:space="0" w:color="auto"/>
          </w:divBdr>
        </w:div>
        <w:div w:id="52387409">
          <w:marLeft w:val="0"/>
          <w:marRight w:val="0"/>
          <w:marTop w:val="240"/>
          <w:marBottom w:val="240"/>
          <w:divBdr>
            <w:top w:val="none" w:sz="0" w:space="0" w:color="auto"/>
            <w:left w:val="none" w:sz="0" w:space="0" w:color="auto"/>
            <w:bottom w:val="none" w:sz="0" w:space="0" w:color="auto"/>
            <w:right w:val="none" w:sz="0" w:space="0" w:color="auto"/>
          </w:divBdr>
        </w:div>
        <w:div w:id="1956401582">
          <w:marLeft w:val="0"/>
          <w:marRight w:val="0"/>
          <w:marTop w:val="240"/>
          <w:marBottom w:val="240"/>
          <w:divBdr>
            <w:top w:val="none" w:sz="0" w:space="0" w:color="auto"/>
            <w:left w:val="none" w:sz="0" w:space="0" w:color="auto"/>
            <w:bottom w:val="none" w:sz="0" w:space="0" w:color="auto"/>
            <w:right w:val="none" w:sz="0" w:space="0" w:color="auto"/>
          </w:divBdr>
        </w:div>
        <w:div w:id="679043671">
          <w:marLeft w:val="0"/>
          <w:marRight w:val="0"/>
          <w:marTop w:val="240"/>
          <w:marBottom w:val="240"/>
          <w:divBdr>
            <w:top w:val="none" w:sz="0" w:space="0" w:color="auto"/>
            <w:left w:val="none" w:sz="0" w:space="0" w:color="auto"/>
            <w:bottom w:val="none" w:sz="0" w:space="0" w:color="auto"/>
            <w:right w:val="none" w:sz="0" w:space="0" w:color="auto"/>
          </w:divBdr>
        </w:div>
      </w:divsChild>
    </w:div>
    <w:div w:id="1240215666">
      <w:bodyDiv w:val="1"/>
      <w:marLeft w:val="0"/>
      <w:marRight w:val="0"/>
      <w:marTop w:val="0"/>
      <w:marBottom w:val="0"/>
      <w:divBdr>
        <w:top w:val="none" w:sz="0" w:space="0" w:color="auto"/>
        <w:left w:val="none" w:sz="0" w:space="0" w:color="auto"/>
        <w:bottom w:val="none" w:sz="0" w:space="0" w:color="auto"/>
        <w:right w:val="none" w:sz="0" w:space="0" w:color="auto"/>
      </w:divBdr>
    </w:div>
    <w:div w:id="1290668211">
      <w:bodyDiv w:val="1"/>
      <w:marLeft w:val="0"/>
      <w:marRight w:val="0"/>
      <w:marTop w:val="0"/>
      <w:marBottom w:val="0"/>
      <w:divBdr>
        <w:top w:val="none" w:sz="0" w:space="0" w:color="auto"/>
        <w:left w:val="none" w:sz="0" w:space="0" w:color="auto"/>
        <w:bottom w:val="none" w:sz="0" w:space="0" w:color="auto"/>
        <w:right w:val="none" w:sz="0" w:space="0" w:color="auto"/>
      </w:divBdr>
      <w:divsChild>
        <w:div w:id="2007515946">
          <w:marLeft w:val="0"/>
          <w:marRight w:val="0"/>
          <w:marTop w:val="240"/>
          <w:marBottom w:val="240"/>
          <w:divBdr>
            <w:top w:val="none" w:sz="0" w:space="0" w:color="auto"/>
            <w:left w:val="none" w:sz="0" w:space="0" w:color="auto"/>
            <w:bottom w:val="none" w:sz="0" w:space="0" w:color="auto"/>
            <w:right w:val="none" w:sz="0" w:space="0" w:color="auto"/>
          </w:divBdr>
        </w:div>
        <w:div w:id="1075084601">
          <w:marLeft w:val="0"/>
          <w:marRight w:val="0"/>
          <w:marTop w:val="240"/>
          <w:marBottom w:val="240"/>
          <w:divBdr>
            <w:top w:val="none" w:sz="0" w:space="0" w:color="auto"/>
            <w:left w:val="none" w:sz="0" w:space="0" w:color="auto"/>
            <w:bottom w:val="none" w:sz="0" w:space="0" w:color="auto"/>
            <w:right w:val="none" w:sz="0" w:space="0" w:color="auto"/>
          </w:divBdr>
        </w:div>
        <w:div w:id="769933111">
          <w:marLeft w:val="0"/>
          <w:marRight w:val="0"/>
          <w:marTop w:val="240"/>
          <w:marBottom w:val="240"/>
          <w:divBdr>
            <w:top w:val="none" w:sz="0" w:space="0" w:color="auto"/>
            <w:left w:val="none" w:sz="0" w:space="0" w:color="auto"/>
            <w:bottom w:val="none" w:sz="0" w:space="0" w:color="auto"/>
            <w:right w:val="none" w:sz="0" w:space="0" w:color="auto"/>
          </w:divBdr>
        </w:div>
        <w:div w:id="1152333326">
          <w:marLeft w:val="0"/>
          <w:marRight w:val="0"/>
          <w:marTop w:val="240"/>
          <w:marBottom w:val="240"/>
          <w:divBdr>
            <w:top w:val="none" w:sz="0" w:space="0" w:color="auto"/>
            <w:left w:val="none" w:sz="0" w:space="0" w:color="auto"/>
            <w:bottom w:val="none" w:sz="0" w:space="0" w:color="auto"/>
            <w:right w:val="none" w:sz="0" w:space="0" w:color="auto"/>
          </w:divBdr>
        </w:div>
      </w:divsChild>
    </w:div>
    <w:div w:id="1388608925">
      <w:bodyDiv w:val="1"/>
      <w:marLeft w:val="0"/>
      <w:marRight w:val="0"/>
      <w:marTop w:val="0"/>
      <w:marBottom w:val="0"/>
      <w:divBdr>
        <w:top w:val="none" w:sz="0" w:space="0" w:color="auto"/>
        <w:left w:val="none" w:sz="0" w:space="0" w:color="auto"/>
        <w:bottom w:val="none" w:sz="0" w:space="0" w:color="auto"/>
        <w:right w:val="none" w:sz="0" w:space="0" w:color="auto"/>
      </w:divBdr>
    </w:div>
    <w:div w:id="1459493530">
      <w:bodyDiv w:val="1"/>
      <w:marLeft w:val="0"/>
      <w:marRight w:val="0"/>
      <w:marTop w:val="0"/>
      <w:marBottom w:val="0"/>
      <w:divBdr>
        <w:top w:val="none" w:sz="0" w:space="0" w:color="auto"/>
        <w:left w:val="none" w:sz="0" w:space="0" w:color="auto"/>
        <w:bottom w:val="none" w:sz="0" w:space="0" w:color="auto"/>
        <w:right w:val="none" w:sz="0" w:space="0" w:color="auto"/>
      </w:divBdr>
    </w:div>
    <w:div w:id="1646620695">
      <w:bodyDiv w:val="1"/>
      <w:marLeft w:val="0"/>
      <w:marRight w:val="0"/>
      <w:marTop w:val="0"/>
      <w:marBottom w:val="0"/>
      <w:divBdr>
        <w:top w:val="none" w:sz="0" w:space="0" w:color="auto"/>
        <w:left w:val="none" w:sz="0" w:space="0" w:color="auto"/>
        <w:bottom w:val="none" w:sz="0" w:space="0" w:color="auto"/>
        <w:right w:val="none" w:sz="0" w:space="0" w:color="auto"/>
      </w:divBdr>
      <w:divsChild>
        <w:div w:id="419372638">
          <w:marLeft w:val="0"/>
          <w:marRight w:val="0"/>
          <w:marTop w:val="240"/>
          <w:marBottom w:val="240"/>
          <w:divBdr>
            <w:top w:val="none" w:sz="0" w:space="0" w:color="auto"/>
            <w:left w:val="none" w:sz="0" w:space="0" w:color="auto"/>
            <w:bottom w:val="none" w:sz="0" w:space="0" w:color="auto"/>
            <w:right w:val="none" w:sz="0" w:space="0" w:color="auto"/>
          </w:divBdr>
        </w:div>
        <w:div w:id="312829105">
          <w:marLeft w:val="0"/>
          <w:marRight w:val="0"/>
          <w:marTop w:val="240"/>
          <w:marBottom w:val="240"/>
          <w:divBdr>
            <w:top w:val="none" w:sz="0" w:space="0" w:color="auto"/>
            <w:left w:val="none" w:sz="0" w:space="0" w:color="auto"/>
            <w:bottom w:val="none" w:sz="0" w:space="0" w:color="auto"/>
            <w:right w:val="none" w:sz="0" w:space="0" w:color="auto"/>
          </w:divBdr>
        </w:div>
        <w:div w:id="2124495324">
          <w:marLeft w:val="0"/>
          <w:marRight w:val="0"/>
          <w:marTop w:val="240"/>
          <w:marBottom w:val="240"/>
          <w:divBdr>
            <w:top w:val="none" w:sz="0" w:space="0" w:color="auto"/>
            <w:left w:val="none" w:sz="0" w:space="0" w:color="auto"/>
            <w:bottom w:val="none" w:sz="0" w:space="0" w:color="auto"/>
            <w:right w:val="none" w:sz="0" w:space="0" w:color="auto"/>
          </w:divBdr>
        </w:div>
        <w:div w:id="1184982006">
          <w:marLeft w:val="0"/>
          <w:marRight w:val="0"/>
          <w:marTop w:val="240"/>
          <w:marBottom w:val="240"/>
          <w:divBdr>
            <w:top w:val="none" w:sz="0" w:space="0" w:color="auto"/>
            <w:left w:val="none" w:sz="0" w:space="0" w:color="auto"/>
            <w:bottom w:val="none" w:sz="0" w:space="0" w:color="auto"/>
            <w:right w:val="none" w:sz="0" w:space="0" w:color="auto"/>
          </w:divBdr>
        </w:div>
        <w:div w:id="28647085">
          <w:marLeft w:val="0"/>
          <w:marRight w:val="0"/>
          <w:marTop w:val="240"/>
          <w:marBottom w:val="240"/>
          <w:divBdr>
            <w:top w:val="none" w:sz="0" w:space="0" w:color="auto"/>
            <w:left w:val="none" w:sz="0" w:space="0" w:color="auto"/>
            <w:bottom w:val="none" w:sz="0" w:space="0" w:color="auto"/>
            <w:right w:val="none" w:sz="0" w:space="0" w:color="auto"/>
          </w:divBdr>
        </w:div>
      </w:divsChild>
    </w:div>
    <w:div w:id="1694529353">
      <w:bodyDiv w:val="1"/>
      <w:marLeft w:val="0"/>
      <w:marRight w:val="0"/>
      <w:marTop w:val="0"/>
      <w:marBottom w:val="0"/>
      <w:divBdr>
        <w:top w:val="none" w:sz="0" w:space="0" w:color="auto"/>
        <w:left w:val="none" w:sz="0" w:space="0" w:color="auto"/>
        <w:bottom w:val="none" w:sz="0" w:space="0" w:color="auto"/>
        <w:right w:val="none" w:sz="0" w:space="0" w:color="auto"/>
      </w:divBdr>
    </w:div>
    <w:div w:id="1940527801">
      <w:bodyDiv w:val="1"/>
      <w:marLeft w:val="0"/>
      <w:marRight w:val="0"/>
      <w:marTop w:val="0"/>
      <w:marBottom w:val="0"/>
      <w:divBdr>
        <w:top w:val="none" w:sz="0" w:space="0" w:color="auto"/>
        <w:left w:val="none" w:sz="0" w:space="0" w:color="auto"/>
        <w:bottom w:val="none" w:sz="0" w:space="0" w:color="auto"/>
        <w:right w:val="none" w:sz="0" w:space="0" w:color="auto"/>
      </w:divBdr>
      <w:divsChild>
        <w:div w:id="1549418973">
          <w:marLeft w:val="0"/>
          <w:marRight w:val="0"/>
          <w:marTop w:val="240"/>
          <w:marBottom w:val="240"/>
          <w:divBdr>
            <w:top w:val="none" w:sz="0" w:space="0" w:color="auto"/>
            <w:left w:val="none" w:sz="0" w:space="0" w:color="auto"/>
            <w:bottom w:val="none" w:sz="0" w:space="0" w:color="auto"/>
            <w:right w:val="none" w:sz="0" w:space="0" w:color="auto"/>
          </w:divBdr>
        </w:div>
        <w:div w:id="1339697478">
          <w:marLeft w:val="0"/>
          <w:marRight w:val="0"/>
          <w:marTop w:val="240"/>
          <w:marBottom w:val="240"/>
          <w:divBdr>
            <w:top w:val="none" w:sz="0" w:space="0" w:color="auto"/>
            <w:left w:val="none" w:sz="0" w:space="0" w:color="auto"/>
            <w:bottom w:val="none" w:sz="0" w:space="0" w:color="auto"/>
            <w:right w:val="none" w:sz="0" w:space="0" w:color="auto"/>
          </w:divBdr>
        </w:div>
        <w:div w:id="506672494">
          <w:marLeft w:val="0"/>
          <w:marRight w:val="0"/>
          <w:marTop w:val="240"/>
          <w:marBottom w:val="240"/>
          <w:divBdr>
            <w:top w:val="none" w:sz="0" w:space="0" w:color="auto"/>
            <w:left w:val="none" w:sz="0" w:space="0" w:color="auto"/>
            <w:bottom w:val="none" w:sz="0" w:space="0" w:color="auto"/>
            <w:right w:val="none" w:sz="0" w:space="0" w:color="auto"/>
          </w:divBdr>
        </w:div>
        <w:div w:id="1433089399">
          <w:marLeft w:val="0"/>
          <w:marRight w:val="0"/>
          <w:marTop w:val="240"/>
          <w:marBottom w:val="240"/>
          <w:divBdr>
            <w:top w:val="none" w:sz="0" w:space="0" w:color="auto"/>
            <w:left w:val="none" w:sz="0" w:space="0" w:color="auto"/>
            <w:bottom w:val="none" w:sz="0" w:space="0" w:color="auto"/>
            <w:right w:val="none" w:sz="0" w:space="0" w:color="auto"/>
          </w:divBdr>
        </w:div>
        <w:div w:id="981077389">
          <w:marLeft w:val="0"/>
          <w:marRight w:val="0"/>
          <w:marTop w:val="240"/>
          <w:marBottom w:val="240"/>
          <w:divBdr>
            <w:top w:val="none" w:sz="0" w:space="0" w:color="auto"/>
            <w:left w:val="none" w:sz="0" w:space="0" w:color="auto"/>
            <w:bottom w:val="none" w:sz="0" w:space="0" w:color="auto"/>
            <w:right w:val="none" w:sz="0" w:space="0" w:color="auto"/>
          </w:divBdr>
        </w:div>
        <w:div w:id="1988052263">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A1D06-70B3-415A-9A97-920E0ADCFAC1}">
  <ds:schemaRefs>
    <ds:schemaRef ds:uri="http://schemas.microsoft.com/office/2006/metadata/properties"/>
    <ds:schemaRef ds:uri="http://schemas.microsoft.com/office/infopath/2007/PartnerControls"/>
    <ds:schemaRef ds:uri="3b88fd10-0f43-4c19-a20e-d4dd188ba082"/>
    <ds:schemaRef ds:uri="c1c93bbc-e3d3-4765-a513-4021518a6f6f"/>
  </ds:schemaRefs>
</ds:datastoreItem>
</file>

<file path=customXml/itemProps2.xml><?xml version="1.0" encoding="utf-8"?>
<ds:datastoreItem xmlns:ds="http://schemas.openxmlformats.org/officeDocument/2006/customXml" ds:itemID="{49CABA81-9350-437D-B5EE-6C90402C661D}">
  <ds:schemaRefs>
    <ds:schemaRef ds:uri="http://schemas.microsoft.com/sharepoint/v3/contenttype/forms"/>
  </ds:schemaRefs>
</ds:datastoreItem>
</file>

<file path=customXml/itemProps3.xml><?xml version="1.0" encoding="utf-8"?>
<ds:datastoreItem xmlns:ds="http://schemas.openxmlformats.org/officeDocument/2006/customXml" ds:itemID="{DAFB9470-F05C-468F-8843-086326572B45}"/>
</file>

<file path=docProps/app.xml><?xml version="1.0" encoding="utf-8"?>
<Properties xmlns="http://schemas.openxmlformats.org/officeDocument/2006/extended-properties" xmlns:vt="http://schemas.openxmlformats.org/officeDocument/2006/docPropsVTypes">
  <Template>Normal</Template>
  <TotalTime>4</TotalTime>
  <Pages>9</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 Pritchard</cp:lastModifiedBy>
  <cp:revision>3</cp:revision>
  <cp:lastPrinted>2014-09-18T05:26:00Z</cp:lastPrinted>
  <dcterms:created xsi:type="dcterms:W3CDTF">2025-12-11T16:54:00Z</dcterms:created>
  <dcterms:modified xsi:type="dcterms:W3CDTF">2026-05-11T11:31:00Z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0x010100C8CEDB91B6C4A34AAD7ACAFB94FC71D6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